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13"/>
      <w:bookmarkStart w:id="2" w:name="OLE_LINK24"/>
      <w:bookmarkStart w:id="3" w:name="OLE_LINK34"/>
      <w:bookmarkStart w:id="4" w:name="OLE_LINK33"/>
      <w:bookmarkStart w:id="5" w:name="OLE_LINK12"/>
      <w:bookmarkStart w:id="13" w:name="_GoBack"/>
      <w:bookmarkEnd w:id="13"/>
      <w:r>
        <w:rPr>
          <w:rFonts w:ascii="Times New Roman" w:hAnsi="Times New Roman" w:eastAsia="宋体"/>
          <w:b/>
          <w:sz w:val="24"/>
          <w:szCs w:val="24"/>
          <w:lang w:eastAsia="ja-JP"/>
        </w:rPr>
        <w:t>3GPP TSG RAN WG1 #</w:t>
      </w:r>
      <w:r>
        <w:rPr>
          <w:rFonts w:ascii="Times New Roman" w:hAnsi="Times New Roman" w:eastAsia="宋体"/>
          <w:b/>
          <w:sz w:val="24"/>
          <w:szCs w:val="24"/>
        </w:rPr>
        <w:t>1</w:t>
      </w:r>
      <w:r>
        <w:rPr>
          <w:rFonts w:hint="eastAsia" w:ascii="Times New Roman" w:hAnsi="Times New Roman" w:eastAsia="宋体"/>
          <w:b/>
          <w:sz w:val="24"/>
          <w:szCs w:val="24"/>
        </w:rPr>
        <w:t>22</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R1-25</w:t>
      </w:r>
      <w:r>
        <w:rPr>
          <w:rFonts w:hint="eastAsia" w:ascii="Times New Roman" w:hAnsi="Times New Roman" w:eastAsia="宋体"/>
          <w:b/>
          <w:sz w:val="24"/>
          <w:szCs w:val="24"/>
        </w:rPr>
        <w:t>05271</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Bengaluru, India, August 25</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29</w:t>
      </w:r>
      <w:r>
        <w:rPr>
          <w:rFonts w:hint="eastAsia" w:ascii="Times New Roman" w:hAnsi="Times New Roman"/>
          <w:b/>
          <w:sz w:val="24"/>
          <w:szCs w:val="24"/>
          <w:vertAlign w:val="superscript"/>
        </w:rPr>
        <w:t>th</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5</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Maintenance on measurements related enhancements for LTM</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8.9.1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RAN#107 meeting, a revised WID on NR mobility enhancements Phase 4 was approved with the following objective [1]:</w:t>
      </w:r>
    </w:p>
    <w:tbl>
      <w:tblPr>
        <w:tblStyle w:val="2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5" w:type="dxa"/>
          </w:tcPr>
          <w:p>
            <w:pPr>
              <w:numPr>
                <w:ilvl w:val="0"/>
                <w:numId w:val="5"/>
              </w:numPr>
              <w:spacing w:before="120" w:after="60" w:line="220" w:lineRule="exact"/>
              <w:ind w:left="363" w:hanging="363"/>
              <w:rPr>
                <w:rFonts w:ascii="Times New Roman" w:hAnsi="Times New Roman"/>
                <w:bCs/>
                <w:sz w:val="20"/>
                <w:szCs w:val="20"/>
              </w:rPr>
            </w:pPr>
            <w:r>
              <w:rPr>
                <w:rFonts w:ascii="Times New Roman" w:hAnsi="Times New Roman"/>
                <w:bCs/>
                <w:sz w:val="20"/>
                <w:szCs w:val="20"/>
              </w:rPr>
              <w:t>Measurements related enhancements for purpose of supporting LTM: [RAN2, RAN1]</w:t>
            </w:r>
          </w:p>
          <w:p>
            <w:pPr>
              <w:numPr>
                <w:ilvl w:val="1"/>
                <w:numId w:val="5"/>
              </w:numPr>
              <w:spacing w:after="60" w:line="220" w:lineRule="exact"/>
              <w:rPr>
                <w:rFonts w:ascii="Times New Roman" w:hAnsi="Times New Roman"/>
                <w:bCs/>
                <w:sz w:val="20"/>
                <w:szCs w:val="20"/>
              </w:rPr>
            </w:pPr>
            <w:r>
              <w:rPr>
                <w:rFonts w:ascii="Times New Roman" w:hAnsi="Times New Roman"/>
                <w:bCs/>
                <w:sz w:val="20"/>
                <w:szCs w:val="20"/>
              </w:rPr>
              <w:t>Measurement related enhancements are applicable to Intra-CU MCG/SCG LTM and Inter-CU MCG/SCG LTM</w:t>
            </w:r>
          </w:p>
          <w:p>
            <w:pPr>
              <w:numPr>
                <w:ilvl w:val="1"/>
                <w:numId w:val="5"/>
              </w:numPr>
              <w:spacing w:after="60" w:line="220" w:lineRule="exact"/>
              <w:rPr>
                <w:rFonts w:ascii="Times New Roman" w:hAnsi="Times New Roman"/>
                <w:bCs/>
                <w:sz w:val="20"/>
                <w:szCs w:val="20"/>
              </w:rPr>
            </w:pPr>
            <w:r>
              <w:rPr>
                <w:rFonts w:ascii="Times New Roman" w:hAnsi="Times New Roman"/>
                <w:bCs/>
                <w:sz w:val="20"/>
                <w:szCs w:val="20"/>
              </w:rPr>
              <w:t>Specify necessary components to support event triggered L1 measurement reporting [RAN2, RAN1]</w:t>
            </w:r>
          </w:p>
          <w:p>
            <w:pPr>
              <w:numPr>
                <w:ilvl w:val="1"/>
                <w:numId w:val="5"/>
              </w:numPr>
              <w:spacing w:after="60" w:line="220" w:lineRule="exact"/>
              <w:rPr>
                <w:rFonts w:ascii="Times New Roman" w:hAnsi="Times New Roman"/>
                <w:bCs/>
                <w:sz w:val="20"/>
                <w:szCs w:val="20"/>
              </w:rPr>
            </w:pPr>
            <w:r>
              <w:rPr>
                <w:rFonts w:ascii="Times New Roman" w:hAnsi="Times New Roman"/>
                <w:bCs/>
                <w:sz w:val="20"/>
                <w:szCs w:val="20"/>
              </w:rPr>
              <w:t>Specify support for CSI-RS measurements for LTM procedures and enable CSI-RS based beam management [RAN1]</w:t>
            </w:r>
          </w:p>
          <w:p>
            <w:pPr>
              <w:numPr>
                <w:ilvl w:val="1"/>
                <w:numId w:val="5"/>
              </w:numPr>
              <w:spacing w:after="60" w:line="220" w:lineRule="exact"/>
              <w:rPr>
                <w:rFonts w:ascii="Times New Roman" w:hAnsi="Times New Roman"/>
                <w:sz w:val="20"/>
                <w:szCs w:val="20"/>
              </w:rPr>
            </w:pPr>
            <w:r>
              <w:rPr>
                <w:rFonts w:ascii="Times New Roman" w:hAnsi="Times New Roman"/>
                <w:bCs/>
                <w:sz w:val="20"/>
                <w:szCs w:val="20"/>
              </w:rPr>
              <w:t>Specify CSI acquisition on candidate cell(s) based on CSI-RS before or during LTM cell switch [RAN1]</w:t>
            </w:r>
          </w:p>
          <w:p>
            <w:pPr>
              <w:pStyle w:val="129"/>
              <w:spacing w:after="60" w:line="220" w:lineRule="exact"/>
              <w:ind w:left="360" w:firstLine="360"/>
              <w:rPr>
                <w:rFonts w:ascii="Times New Roman" w:hAnsi="Times New Roman"/>
                <w:sz w:val="20"/>
                <w:szCs w:val="20"/>
              </w:rPr>
            </w:pPr>
            <w:r>
              <w:rPr>
                <w:rFonts w:ascii="Times New Roman" w:hAnsi="Times New Roman"/>
                <w:sz w:val="20"/>
                <w:szCs w:val="20"/>
              </w:rPr>
              <w:t xml:space="preserve">NOTE: </w:t>
            </w:r>
            <w:r>
              <w:rPr>
                <w:rFonts w:ascii="Times New Roman" w:hAnsi="Times New Roman"/>
                <w:sz w:val="20"/>
                <w:szCs w:val="20"/>
              </w:rPr>
              <w:tab/>
            </w:r>
            <w:r>
              <w:rPr>
                <w:rFonts w:ascii="Times New Roman" w:hAnsi="Times New Roman"/>
                <w:sz w:val="20"/>
                <w:szCs w:val="20"/>
              </w:rPr>
              <w:t>RAN1 WG to decide on whether to support CSI report before or during the LTM cell switch, as part of the CSI acquisition procedure.</w:t>
            </w:r>
          </w:p>
          <w:p>
            <w:pPr>
              <w:numPr>
                <w:ilvl w:val="0"/>
                <w:numId w:val="5"/>
              </w:numPr>
              <w:spacing w:after="60" w:line="220" w:lineRule="exact"/>
              <w:rPr>
                <w:rFonts w:ascii="Times New Roman" w:hAnsi="Times New Roman"/>
                <w:bCs/>
                <w:sz w:val="20"/>
                <w:szCs w:val="20"/>
              </w:rPr>
            </w:pPr>
            <w:r>
              <w:rPr>
                <w:rFonts w:ascii="Times New Roman" w:hAnsi="Times New Roman"/>
                <w:bCs/>
                <w:sz w:val="20"/>
                <w:szCs w:val="20"/>
              </w:rPr>
              <w:t>Specify support of conditional Intra-CU LTM [RAN2, RAN3, RAN1]</w:t>
            </w:r>
          </w:p>
          <w:p>
            <w:pPr>
              <w:numPr>
                <w:ilvl w:val="1"/>
                <w:numId w:val="5"/>
              </w:numPr>
              <w:spacing w:after="60" w:line="220" w:lineRule="exact"/>
              <w:rPr>
                <w:rFonts w:ascii="Times New Roman" w:hAnsi="Times New Roman"/>
                <w:bCs/>
                <w:sz w:val="20"/>
                <w:szCs w:val="20"/>
              </w:rPr>
            </w:pPr>
            <w:r>
              <w:rPr>
                <w:rFonts w:ascii="Times New Roman" w:hAnsi="Times New Roman"/>
                <w:bCs/>
                <w:sz w:val="20"/>
                <w:szCs w:val="20"/>
              </w:rPr>
              <w:t>Specify UE evaluated conditions for triggering LTM</w:t>
            </w:r>
          </w:p>
          <w:p>
            <w:pPr>
              <w:numPr>
                <w:ilvl w:val="1"/>
                <w:numId w:val="5"/>
              </w:numPr>
              <w:spacing w:after="60" w:line="220" w:lineRule="exact"/>
              <w:rPr>
                <w:rFonts w:ascii="Times New Roman" w:hAnsi="Times New Roman"/>
                <w:bCs/>
                <w:sz w:val="20"/>
                <w:szCs w:val="20"/>
              </w:rPr>
            </w:pPr>
            <w:r>
              <w:rPr>
                <w:rFonts w:ascii="Times New Roman" w:hAnsi="Times New Roman"/>
                <w:bCs/>
                <w:sz w:val="20"/>
                <w:szCs w:val="20"/>
              </w:rPr>
              <w:t>Aim to support conditional LTM including subsequent LTM</w:t>
            </w:r>
          </w:p>
          <w:p>
            <w:pPr>
              <w:numPr>
                <w:ilvl w:val="1"/>
                <w:numId w:val="5"/>
              </w:numPr>
              <w:spacing w:after="60" w:line="220" w:lineRule="exact"/>
              <w:rPr>
                <w:rFonts w:ascii="Times New Roman" w:hAnsi="Times New Roman"/>
                <w:bCs/>
                <w:sz w:val="20"/>
                <w:szCs w:val="20"/>
              </w:rPr>
            </w:pPr>
            <w:r>
              <w:rPr>
                <w:rFonts w:ascii="Times New Roman" w:hAnsi="Times New Roman"/>
                <w:bCs/>
                <w:sz w:val="20"/>
                <w:szCs w:val="20"/>
              </w:rPr>
              <w:t>Limit specifying the conditional LTM to the scenario where the UE is in non-DC</w:t>
            </w:r>
          </w:p>
          <w:p>
            <w:pPr>
              <w:numPr>
                <w:ilvl w:val="1"/>
                <w:numId w:val="5"/>
              </w:numPr>
              <w:spacing w:after="60" w:line="220" w:lineRule="exact"/>
              <w:ind w:left="1083" w:hanging="363"/>
            </w:pPr>
            <w:r>
              <w:rPr>
                <w:rFonts w:ascii="Times New Roman" w:hAnsi="Times New Roman"/>
                <w:bCs/>
                <w:strike/>
                <w:color w:val="FF0000"/>
                <w:sz w:val="20"/>
                <w:szCs w:val="20"/>
              </w:rPr>
              <w:t>Checkpoint at RAN#107 to review the objective on whether Intra-CU conditional LTM can be specified to DC scenarios and if so, to which cases. RAN WG work to not start before this checkpoint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this contribution, we will elaborate our views on the remaining open issues of measurement related enhancements for Rel-19 LTM, including CSI acquisition during LTM cell switch.  </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numPr>
          <w:ilvl w:val="1"/>
          <w:numId w:val="1"/>
        </w:numPr>
        <w:rPr>
          <w:lang w:val="en-US"/>
        </w:rPr>
      </w:pPr>
      <w:r>
        <w:rPr>
          <w:rFonts w:hint="eastAsia" w:eastAsia="宋体"/>
          <w:lang w:val="en-US"/>
        </w:rPr>
        <w:t>Determination of CSI-RS resource for measurement after receiving CSC MAC CE</w:t>
      </w:r>
    </w:p>
    <w:p>
      <w:pPr>
        <w:numPr>
          <w:ilvl w:val="255"/>
          <w:numId w:val="0"/>
        </w:numPr>
        <w:spacing w:after="0" w:line="240" w:lineRule="auto"/>
        <w:jc w:val="both"/>
        <w:rPr>
          <w:rFonts w:ascii="Times New Roman" w:hAnsi="Times New Roman"/>
          <w:b/>
          <w:bCs/>
          <w:sz w:val="20"/>
          <w:szCs w:val="20"/>
        </w:rPr>
      </w:pPr>
      <w:r>
        <w:rPr>
          <w:rFonts w:hint="eastAsia" w:ascii="Times New Roman" w:hAnsi="Times New Roman"/>
          <w:b/>
          <w:bCs/>
          <w:sz w:val="20"/>
          <w:szCs w:val="20"/>
        </w:rPr>
        <w:t>Reason for change:</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RAN1#120 meeting, it has agreed to support periodic CSI-RS for CSI acquisition for one or more candidate cells.</w:t>
      </w:r>
    </w:p>
    <w:tbl>
      <w:tblPr>
        <w:tblStyle w:val="29"/>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4" w:type="dxa"/>
          </w:tcPr>
          <w:p>
            <w:pPr>
              <w:pStyle w:val="133"/>
              <w:spacing w:after="0" w:line="300" w:lineRule="exact"/>
              <w:ind w:firstLine="0" w:firstLineChars="0"/>
              <w:rPr>
                <w:rFonts w:eastAsia="Batang"/>
                <w:b/>
                <w:bCs/>
                <w:u w:val="single"/>
                <w:lang w:bidi="ar"/>
              </w:rPr>
            </w:pPr>
            <w:r>
              <w:rPr>
                <w:rFonts w:eastAsia="Batang"/>
                <w:b/>
                <w:bCs/>
                <w:u w:val="single"/>
                <w:lang w:bidi="ar"/>
              </w:rPr>
              <w:t>Agreement</w:t>
            </w:r>
            <w:r>
              <w:rPr>
                <w:rFonts w:hint="eastAsia" w:eastAsia="Batang"/>
                <w:b/>
                <w:bCs/>
                <w:u w:val="single"/>
                <w:lang w:bidi="ar"/>
              </w:rPr>
              <w:t>_RAN1#120</w:t>
            </w:r>
          </w:p>
          <w:p>
            <w:pPr>
              <w:pStyle w:val="133"/>
              <w:spacing w:after="0" w:line="300" w:lineRule="exact"/>
              <w:ind w:firstLine="0" w:firstLineChars="0"/>
              <w:rPr>
                <w:rFonts w:ascii="Times" w:hAnsi="Times" w:eastAsia="Batang"/>
                <w:szCs w:val="24"/>
                <w:lang w:bidi="ar"/>
              </w:rPr>
            </w:pPr>
            <w:r>
              <w:rPr>
                <w:rFonts w:ascii="Times" w:hAnsi="Times" w:eastAsia="Batang"/>
                <w:szCs w:val="24"/>
                <w:lang w:bidi="ar"/>
              </w:rPr>
              <w:t xml:space="preserve">For target cell CSI acquisition, </w:t>
            </w:r>
          </w:p>
          <w:p>
            <w:pPr>
              <w:pStyle w:val="133"/>
              <w:numPr>
                <w:ilvl w:val="0"/>
                <w:numId w:val="6"/>
              </w:numPr>
              <w:spacing w:after="0" w:line="300" w:lineRule="exact"/>
              <w:rPr>
                <w:rFonts w:ascii="Times" w:hAnsi="Times" w:eastAsia="Batang"/>
                <w:szCs w:val="24"/>
                <w:lang w:bidi="ar"/>
              </w:rPr>
            </w:pPr>
            <w:r>
              <w:rPr>
                <w:rFonts w:ascii="Times" w:hAnsi="Times" w:eastAsia="Batang"/>
                <w:szCs w:val="24"/>
                <w:lang w:bidi="ar"/>
              </w:rPr>
              <w:t>A UE is provided with RRC configurations for periodic CSI-RS resource(s) and CSI report(s) for one or more candidate cell</w:t>
            </w:r>
          </w:p>
          <w:p>
            <w:pPr>
              <w:pStyle w:val="133"/>
              <w:numPr>
                <w:ilvl w:val="255"/>
                <w:numId w:val="0"/>
              </w:numPr>
              <w:spacing w:after="0" w:line="300" w:lineRule="exact"/>
            </w:pPr>
            <w:r>
              <w:rPr>
                <w:rFonts w:hint="eastAsia" w:ascii="Times" w:hAnsi="Times" w:eastAsia="Batang"/>
                <w:szCs w:val="24"/>
                <w:lang w:bidi="ar"/>
              </w:rPr>
              <w:t xml:space="preserve">    .......</w:t>
            </w:r>
          </w:p>
        </w:tc>
      </w:tr>
    </w:tbl>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RAN1#121 meeting, RAN1 has further reached the following consensus on IMR in addition to CMR for CSI measurement. However, it is not clearly reflected in the Clause 5.2.4a of TS 38.214-j00.</w:t>
      </w:r>
    </w:p>
    <w:tbl>
      <w:tblPr>
        <w:tblStyle w:val="2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3" w:type="dxa"/>
          </w:tcPr>
          <w:p>
            <w:pPr>
              <w:pStyle w:val="133"/>
              <w:numPr>
                <w:ilvl w:val="255"/>
                <w:numId w:val="0"/>
              </w:numPr>
              <w:spacing w:after="0" w:line="240" w:lineRule="auto"/>
              <w:rPr>
                <w:b/>
                <w:bCs/>
                <w:u w:val="single"/>
              </w:rPr>
            </w:pPr>
            <w:r>
              <w:rPr>
                <w:rFonts w:eastAsia="Batang"/>
                <w:b/>
                <w:bCs/>
                <w:u w:val="single"/>
                <w:lang w:bidi="ar"/>
              </w:rPr>
              <w:t>Agreement</w:t>
            </w:r>
          </w:p>
          <w:p>
            <w:pPr>
              <w:pStyle w:val="133"/>
              <w:numPr>
                <w:ilvl w:val="255"/>
                <w:numId w:val="0"/>
              </w:numPr>
              <w:spacing w:after="0" w:line="300" w:lineRule="exact"/>
            </w:pPr>
            <w:r>
              <w:rPr>
                <w:rFonts w:ascii="Times" w:hAnsi="Times" w:eastAsia="Batang"/>
                <w:szCs w:val="24"/>
                <w:lang w:bidi="ar"/>
              </w:rPr>
              <w:t>A list of interference measurement resources for candidate cells is supported for LTM CSI acquisition</w:t>
            </w:r>
          </w:p>
          <w:p>
            <w:pPr>
              <w:pStyle w:val="133"/>
              <w:numPr>
                <w:ilvl w:val="0"/>
                <w:numId w:val="7"/>
              </w:numPr>
              <w:spacing w:after="0" w:line="300" w:lineRule="exact"/>
              <w:jc w:val="both"/>
            </w:pPr>
            <w:r>
              <w:t>If this list is not configured, CMR is used for interference measurement</w:t>
            </w:r>
          </w:p>
        </w:tc>
      </w:tr>
    </w:tbl>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addition, </w:t>
      </w:r>
      <w:r>
        <w:rPr>
          <w:rFonts w:ascii="Times New Roman" w:hAnsi="Times New Roman"/>
          <w:sz w:val="20"/>
          <w:szCs w:val="20"/>
        </w:rPr>
        <w:t>in</w:t>
      </w:r>
      <w:r>
        <w:rPr>
          <w:rFonts w:hint="eastAsia" w:ascii="Times New Roman" w:hAnsi="Times New Roman"/>
          <w:sz w:val="20"/>
          <w:szCs w:val="20"/>
        </w:rPr>
        <w:t xml:space="preserve"> Clause 5.2.4a of TS 38.214-j00</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 xml:space="preserve">it is only specified that </w:t>
      </w:r>
      <w:r>
        <w:rPr>
          <w:rFonts w:hint="eastAsia" w:ascii="Times New Roman" w:hAnsi="Times New Roman"/>
          <w:sz w:val="20"/>
          <w:szCs w:val="20"/>
        </w:rPr>
        <w:t xml:space="preserve">CSI-RS measurement for CSI is </w:t>
      </w:r>
      <w:r>
        <w:rPr>
          <w:rFonts w:ascii="Times New Roman" w:hAnsi="Times New Roman"/>
          <w:sz w:val="20"/>
          <w:szCs w:val="20"/>
        </w:rPr>
        <w:t>performed</w:t>
      </w:r>
      <w:r>
        <w:rPr>
          <w:rFonts w:hint="eastAsia" w:ascii="Times New Roman" w:hAnsi="Times New Roman"/>
          <w:sz w:val="20"/>
          <w:szCs w:val="20"/>
        </w:rPr>
        <w:t xml:space="preserve"> after receiving</w:t>
      </w:r>
      <w:r>
        <w:rPr>
          <w:rFonts w:ascii="Times New Roman" w:hAnsi="Times New Roman"/>
          <w:sz w:val="20"/>
          <w:szCs w:val="20"/>
        </w:rPr>
        <w:t xml:space="preserve"> </w:t>
      </w:r>
      <w:r>
        <w:rPr>
          <w:rFonts w:hint="eastAsia" w:ascii="Times New Roman" w:hAnsi="Times New Roman"/>
          <w:sz w:val="20"/>
          <w:szCs w:val="20"/>
        </w:rPr>
        <w:t xml:space="preserve">LTM Cell Switch Command MAC CE. However, it is unclear that how to determine the validity of periodic CSI-RS resources for CSI measurement upon reception of the MAC CE. </w:t>
      </w:r>
    </w:p>
    <w:tbl>
      <w:tblPr>
        <w:tblStyle w:val="29"/>
        <w:tblW w:w="0" w:type="auto"/>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2" w:type="dxa"/>
          </w:tcPr>
          <w:p>
            <w:pPr>
              <w:spacing w:after="80"/>
              <w:rPr>
                <w:rFonts w:ascii="Times New Roman" w:hAnsi="Times New Roman"/>
                <w:b/>
                <w:bCs/>
                <w:sz w:val="20"/>
                <w:szCs w:val="20"/>
              </w:rPr>
            </w:pPr>
            <w:bookmarkStart w:id="7" w:name="_Toc202190770"/>
            <w:bookmarkStart w:id="8" w:name="_Toc192172926"/>
            <w:r>
              <w:rPr>
                <w:rFonts w:ascii="Times New Roman" w:hAnsi="Times New Roman"/>
                <w:b/>
                <w:bCs/>
                <w:sz w:val="20"/>
                <w:szCs w:val="20"/>
              </w:rPr>
              <w:t>5.2.4a CSI</w:t>
            </w:r>
            <w:r>
              <w:rPr>
                <w:rFonts w:ascii="Times New Roman" w:hAnsi="Times New Roman"/>
                <w:b/>
                <w:bCs/>
                <w:sz w:val="20"/>
                <w:szCs w:val="20"/>
              </w:rPr>
              <w:tab/>
            </w:r>
            <w:r>
              <w:rPr>
                <w:rFonts w:ascii="Times New Roman" w:hAnsi="Times New Roman"/>
                <w:b/>
                <w:bCs/>
                <w:sz w:val="20"/>
                <w:szCs w:val="20"/>
              </w:rPr>
              <w:t>Reporting for LTM</w:t>
            </w:r>
            <w:bookmarkEnd w:id="7"/>
          </w:p>
          <w:bookmarkEnd w:id="8"/>
          <w:p>
            <w:pPr>
              <w:numPr>
                <w:ilvl w:val="255"/>
                <w:numId w:val="0"/>
              </w:numPr>
              <w:spacing w:after="0" w:line="240" w:lineRule="auto"/>
              <w:rPr>
                <w:rFonts w:ascii="Times New Roman" w:hAnsi="Times New Roman"/>
                <w:sz w:val="20"/>
                <w:szCs w:val="20"/>
              </w:rPr>
            </w:pPr>
            <w:r>
              <w:rPr>
                <w:rFonts w:ascii="Times New Roman" w:hAnsi="Times New Roman"/>
                <w:sz w:val="20"/>
                <w:szCs w:val="20"/>
              </w:rPr>
              <w:t>After a UE receives an LTM Cell Switch Command MAC CE [10, TS 38.321] providing a candidate cell (given by Target Configuration ID field), and a [</w:t>
            </w:r>
            <w:r>
              <w:rPr>
                <w:rFonts w:ascii="Times New Roman" w:hAnsi="Times New Roman"/>
                <w:i/>
                <w:iCs/>
                <w:sz w:val="20"/>
                <w:szCs w:val="20"/>
              </w:rPr>
              <w:t>ltm-eCSI-ReportConfig</w:t>
            </w:r>
            <w:r>
              <w:rPr>
                <w:rFonts w:ascii="Times New Roman" w:hAnsi="Times New Roman"/>
                <w:sz w:val="20"/>
                <w:szCs w:val="20"/>
              </w:rPr>
              <w:t>] is configured for the candidate cell, the UE can measure corresponding NZP CSI-RS resources and shall transmit a CSI report to the candidate cell.</w:t>
            </w:r>
            <w:r>
              <w:rPr>
                <w:rFonts w:ascii="Times New Roman" w:hAnsi="Times New Roman"/>
                <w:sz w:val="21"/>
                <w:szCs w:val="21"/>
              </w:rPr>
              <w:t xml:space="preserve"> </w:t>
            </w:r>
          </w:p>
        </w:tc>
      </w:tr>
    </w:tbl>
    <w:p>
      <w:pPr>
        <w:spacing w:before="120" w:after="60" w:line="240" w:lineRule="auto"/>
        <w:jc w:val="both"/>
        <w:rPr>
          <w:rFonts w:ascii="Times New Roman" w:hAnsi="Times New Roman"/>
          <w:b/>
          <w:bCs/>
          <w:sz w:val="20"/>
          <w:szCs w:val="20"/>
        </w:rPr>
      </w:pPr>
      <w:r>
        <w:rPr>
          <w:rFonts w:hint="eastAsia" w:ascii="Times New Roman" w:hAnsi="Times New Roman"/>
          <w:b/>
          <w:bCs/>
          <w:sz w:val="20"/>
          <w:szCs w:val="20"/>
        </w:rPr>
        <w:t>Summary of change:</w:t>
      </w:r>
    </w:p>
    <w:p>
      <w:pPr>
        <w:numPr>
          <w:ilvl w:val="255"/>
          <w:numId w:val="0"/>
        </w:numPr>
        <w:spacing w:after="0" w:line="240" w:lineRule="auto"/>
        <w:ind w:left="0" w:firstLine="0"/>
        <w:jc w:val="both"/>
        <w:rPr>
          <w:rFonts w:ascii="Times New Roman" w:hAnsi="Times New Roman"/>
          <w:sz w:val="20"/>
          <w:szCs w:val="20"/>
        </w:rPr>
      </w:pPr>
      <w:r>
        <w:rPr>
          <w:rFonts w:hint="eastAsia" w:ascii="Times New Roman" w:hAnsi="Times New Roman"/>
          <w:sz w:val="20"/>
          <w:szCs w:val="20"/>
        </w:rPr>
        <w:t>The following changes are made in Clause 5.2.4a of TS 38.214-j00:</w:t>
      </w:r>
    </w:p>
    <w:p>
      <w:pPr>
        <w:numPr>
          <w:ilvl w:val="0"/>
          <w:numId w:val="8"/>
        </w:numPr>
        <w:spacing w:after="0" w:line="240" w:lineRule="auto"/>
        <w:jc w:val="both"/>
        <w:rPr>
          <w:rFonts w:ascii="Times New Roman" w:hAnsi="Times New Roman"/>
          <w:sz w:val="20"/>
          <w:szCs w:val="20"/>
        </w:rPr>
      </w:pPr>
      <w:r>
        <w:rPr>
          <w:rFonts w:ascii="Times New Roman" w:hAnsi="Times New Roman"/>
          <w:b/>
          <w:bCs/>
          <w:sz w:val="20"/>
          <w:szCs w:val="20"/>
        </w:rPr>
        <w:t>#1:</w:t>
      </w:r>
      <w:r>
        <w:rPr>
          <w:rFonts w:hint="eastAsia" w:ascii="Times New Roman" w:hAnsi="Times New Roman"/>
          <w:sz w:val="20"/>
          <w:szCs w:val="20"/>
        </w:rPr>
        <w:t xml:space="preserve"> Adding </w:t>
      </w:r>
      <w:r>
        <w:rPr>
          <w:rFonts w:ascii="Times New Roman" w:hAnsi="Times New Roman"/>
          <w:sz w:val="20"/>
          <w:szCs w:val="20"/>
        </w:rPr>
        <w:t>“</w:t>
      </w:r>
      <w:r>
        <w:rPr>
          <w:rFonts w:ascii="Times New Roman" w:hAnsi="Times New Roman"/>
          <w:color w:val="auto"/>
          <w:sz w:val="20"/>
          <w:szCs w:val="20"/>
        </w:rPr>
        <w:t xml:space="preserve">with higher layer parameter </w:t>
      </w:r>
      <w:r>
        <w:rPr>
          <w:rFonts w:ascii="Times New Roman" w:hAnsi="Times New Roman"/>
          <w:i/>
          <w:iCs/>
          <w:color w:val="auto"/>
          <w:sz w:val="20"/>
          <w:szCs w:val="20"/>
        </w:rPr>
        <w:t>resourceType</w:t>
      </w:r>
      <w:r>
        <w:rPr>
          <w:rFonts w:ascii="Times New Roman" w:hAnsi="Times New Roman"/>
          <w:color w:val="auto"/>
          <w:sz w:val="20"/>
          <w:szCs w:val="20"/>
        </w:rPr>
        <w:t xml:space="preserve"> set to 'periodic'</w:t>
      </w:r>
      <w:r>
        <w:rPr>
          <w:rFonts w:ascii="Times New Roman" w:hAnsi="Times New Roman"/>
          <w:sz w:val="20"/>
          <w:szCs w:val="20"/>
        </w:rPr>
        <w:t>”</w:t>
      </w:r>
      <w:r>
        <w:rPr>
          <w:rFonts w:hint="eastAsia" w:ascii="Times New Roman" w:hAnsi="Times New Roman"/>
          <w:sz w:val="20"/>
          <w:szCs w:val="20"/>
        </w:rPr>
        <w:t xml:space="preserve"> after the sentence </w:t>
      </w:r>
      <w:r>
        <w:rPr>
          <w:rFonts w:ascii="Times New Roman" w:hAnsi="Times New Roman"/>
          <w:sz w:val="20"/>
          <w:szCs w:val="20"/>
        </w:rPr>
        <w:t>“</w:t>
      </w:r>
      <w:r>
        <w:rPr>
          <w:rFonts w:hint="eastAsia" w:ascii="Times New Roman" w:hAnsi="Times New Roman"/>
          <w:sz w:val="20"/>
          <w:szCs w:val="20"/>
        </w:rPr>
        <w:t>....</w:t>
      </w:r>
      <w:r>
        <w:rPr>
          <w:rFonts w:ascii="Times New Roman" w:hAnsi="Times New Roman" w:eastAsia="宋体"/>
          <w:sz w:val="20"/>
          <w:szCs w:val="20"/>
        </w:rPr>
        <w:t>the UE can measure corresponding NZP CSI-RS resources</w:t>
      </w:r>
      <w:r>
        <w:rPr>
          <w:rFonts w:ascii="Times New Roman" w:hAnsi="Times New Roman"/>
          <w:sz w:val="20"/>
          <w:szCs w:val="20"/>
        </w:rPr>
        <w:t>”.</w:t>
      </w:r>
    </w:p>
    <w:p>
      <w:pPr>
        <w:numPr>
          <w:ilvl w:val="0"/>
          <w:numId w:val="8"/>
        </w:numPr>
        <w:spacing w:after="0" w:line="240" w:lineRule="auto"/>
        <w:jc w:val="both"/>
        <w:rPr>
          <w:rFonts w:ascii="Times New Roman" w:hAnsi="Times New Roman"/>
          <w:sz w:val="20"/>
          <w:szCs w:val="20"/>
        </w:rPr>
      </w:pPr>
      <w:r>
        <w:rPr>
          <w:rFonts w:ascii="Times New Roman" w:hAnsi="Times New Roman"/>
          <w:b/>
          <w:bCs/>
          <w:sz w:val="20"/>
          <w:szCs w:val="20"/>
        </w:rPr>
        <w:t>#2:</w:t>
      </w:r>
      <w:r>
        <w:rPr>
          <w:rFonts w:hint="eastAsia" w:ascii="Times New Roman" w:hAnsi="Times New Roman"/>
          <w:sz w:val="20"/>
          <w:szCs w:val="20"/>
        </w:rPr>
        <w:t xml:space="preserve"> Adding</w:t>
      </w:r>
      <w:r>
        <w:rPr>
          <w:rFonts w:ascii="Times New Roman" w:hAnsi="Times New Roman"/>
          <w:sz w:val="20"/>
          <w:szCs w:val="20"/>
        </w:rPr>
        <w:t xml:space="preserve"> the case of providing </w:t>
      </w:r>
      <w:r>
        <w:rPr>
          <w:rFonts w:hint="eastAsia" w:ascii="Times New Roman" w:hAnsi="Times New Roman" w:eastAsia="宋体"/>
          <w:sz w:val="20"/>
          <w:szCs w:val="20"/>
        </w:rPr>
        <w:t>CSI-IM</w:t>
      </w:r>
      <w:r>
        <w:rPr>
          <w:rFonts w:ascii="Times New Roman" w:hAnsi="Times New Roman"/>
          <w:sz w:val="20"/>
          <w:szCs w:val="20"/>
        </w:rPr>
        <w:t xml:space="preserve"> resources</w:t>
      </w:r>
      <w:r>
        <w:rPr>
          <w:rFonts w:hint="eastAsia" w:ascii="Times New Roman" w:hAnsi="Times New Roman"/>
          <w:sz w:val="20"/>
          <w:szCs w:val="20"/>
        </w:rPr>
        <w:t>.</w:t>
      </w:r>
    </w:p>
    <w:p>
      <w:pPr>
        <w:numPr>
          <w:ilvl w:val="0"/>
          <w:numId w:val="8"/>
        </w:numPr>
        <w:spacing w:after="0" w:line="240" w:lineRule="auto"/>
        <w:jc w:val="both"/>
        <w:rPr>
          <w:rFonts w:ascii="Times New Roman" w:hAnsi="Times New Roman"/>
          <w:sz w:val="20"/>
          <w:szCs w:val="20"/>
        </w:rPr>
      </w:pPr>
      <w:r>
        <w:rPr>
          <w:rFonts w:ascii="Times New Roman" w:hAnsi="Times New Roman"/>
          <w:b/>
          <w:bCs/>
          <w:sz w:val="20"/>
          <w:szCs w:val="20"/>
        </w:rPr>
        <w:t>#3:</w:t>
      </w:r>
      <w:r>
        <w:rPr>
          <w:rFonts w:hint="eastAsia" w:ascii="Times New Roman" w:hAnsi="Times New Roman"/>
          <w:sz w:val="20"/>
          <w:szCs w:val="20"/>
        </w:rPr>
        <w:t xml:space="preserve"> Adding the relevant description of validity of periodic CSI-RS resources after that UE receives LTM Cell Switch Command MAC CE. </w:t>
      </w:r>
    </w:p>
    <w:p>
      <w:pPr>
        <w:spacing w:before="120" w:after="60" w:line="240" w:lineRule="auto"/>
        <w:jc w:val="both"/>
        <w:rPr>
          <w:rFonts w:ascii="Times New Roman" w:hAnsi="Times New Roman"/>
          <w:b/>
          <w:bCs/>
          <w:sz w:val="20"/>
          <w:szCs w:val="20"/>
        </w:rPr>
      </w:pPr>
      <w:r>
        <w:rPr>
          <w:rFonts w:hint="eastAsia" w:ascii="Times New Roman" w:hAnsi="Times New Roman"/>
          <w:b/>
          <w:bCs/>
          <w:sz w:val="20"/>
          <w:szCs w:val="20"/>
        </w:rPr>
        <w:t>Consequence if not approved:</w:t>
      </w:r>
    </w:p>
    <w:p>
      <w:pPr>
        <w:snapToGrid w:val="0"/>
        <w:spacing w:before="120" w:after="60" w:line="288" w:lineRule="auto"/>
        <w:jc w:val="both"/>
        <w:rPr>
          <w:rFonts w:ascii="Times New Roman" w:hAnsi="Times New Roman"/>
          <w:sz w:val="20"/>
          <w:szCs w:val="20"/>
        </w:rPr>
      </w:pPr>
      <w:r>
        <w:rPr>
          <w:rFonts w:ascii="Times New Roman" w:hAnsi="Times New Roman"/>
          <w:sz w:val="20"/>
          <w:szCs w:val="20"/>
        </w:rPr>
        <w:t>The</w:t>
      </w:r>
      <w:r>
        <w:rPr>
          <w:rFonts w:hint="eastAsia" w:ascii="Times New Roman" w:hAnsi="Times New Roman"/>
          <w:sz w:val="20"/>
          <w:szCs w:val="20"/>
        </w:rPr>
        <w:t xml:space="preserve"> UE behavior on NZP CSI-RS and/or CSI-IM measurement</w:t>
      </w:r>
      <w:r>
        <w:rPr>
          <w:rFonts w:ascii="Times New Roman" w:hAnsi="Times New Roman"/>
          <w:sz w:val="20"/>
          <w:szCs w:val="20"/>
        </w:rPr>
        <w:t xml:space="preserve"> is unclear,</w:t>
      </w:r>
      <w:r>
        <w:rPr>
          <w:rFonts w:hint="eastAsia" w:ascii="Times New Roman" w:hAnsi="Times New Roman"/>
          <w:sz w:val="20"/>
          <w:szCs w:val="20"/>
        </w:rPr>
        <w:t xml:space="preserve"> after UE receives LTM Cell Switch Command MAC CE.</w:t>
      </w:r>
    </w:p>
    <w:p>
      <w:pPr>
        <w:snapToGrid w:val="0"/>
        <w:spacing w:before="108" w:beforeLines="30" w:after="108" w:afterLines="30" w:line="288" w:lineRule="auto"/>
        <w:rPr>
          <w:rFonts w:ascii="Times New Roman" w:hAnsi="Times New Roman"/>
          <w:i/>
          <w:iCs/>
          <w:sz w:val="20"/>
          <w:szCs w:val="20"/>
        </w:rPr>
      </w:pPr>
      <w:r>
        <w:rPr>
          <w:rFonts w:ascii="Times New Roman" w:hAnsi="Times New Roman"/>
          <w:b/>
          <w:bCs/>
          <w:i/>
          <w:iCs/>
          <w:sz w:val="20"/>
          <w:szCs w:val="20"/>
        </w:rPr>
        <w:t xml:space="preserve">Text proposal 1: </w:t>
      </w:r>
      <w:r>
        <w:rPr>
          <w:rFonts w:ascii="Times New Roman" w:hAnsi="Times New Roman"/>
          <w:i/>
          <w:iCs/>
          <w:sz w:val="20"/>
          <w:szCs w:val="20"/>
        </w:rPr>
        <w:t xml:space="preserve">Adopt the following text change in </w:t>
      </w:r>
      <w:r>
        <w:rPr>
          <w:rFonts w:hint="eastAsia" w:ascii="Times New Roman" w:hAnsi="Times New Roman"/>
          <w:i/>
          <w:iCs/>
          <w:sz w:val="20"/>
          <w:szCs w:val="20"/>
        </w:rPr>
        <w:t>Clause</w:t>
      </w:r>
      <w:r>
        <w:rPr>
          <w:rFonts w:ascii="Times New Roman" w:hAnsi="Times New Roman"/>
          <w:i/>
          <w:iCs/>
          <w:sz w:val="20"/>
          <w:szCs w:val="20"/>
        </w:rPr>
        <w:t xml:space="preserve"> 5.2.4a of TS 38.214-j00.</w:t>
      </w:r>
    </w:p>
    <w:tbl>
      <w:tblPr>
        <w:tblStyle w:val="29"/>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0" w:type="dxa"/>
          </w:tcPr>
          <w:p>
            <w:pPr>
              <w:numPr>
                <w:ilvl w:val="255"/>
                <w:numId w:val="0"/>
              </w:numPr>
              <w:spacing w:before="120" w:after="60" w:line="240" w:lineRule="auto"/>
              <w:jc w:val="both"/>
              <w:rPr>
                <w:rFonts w:ascii="Times New Roman" w:hAnsi="Times New Roman"/>
                <w:b/>
                <w:bCs/>
                <w:sz w:val="21"/>
                <w:szCs w:val="21"/>
              </w:rPr>
            </w:pPr>
            <w:r>
              <w:rPr>
                <w:rFonts w:ascii="Times New Roman" w:hAnsi="Times New Roman"/>
                <w:b/>
                <w:bCs/>
                <w:sz w:val="21"/>
                <w:szCs w:val="21"/>
              </w:rPr>
              <w:t>5.2.4a CSI</w:t>
            </w:r>
            <w:r>
              <w:rPr>
                <w:rFonts w:ascii="Times New Roman" w:hAnsi="Times New Roman"/>
                <w:b/>
                <w:bCs/>
                <w:sz w:val="21"/>
                <w:szCs w:val="21"/>
              </w:rPr>
              <w:tab/>
            </w:r>
            <w:r>
              <w:rPr>
                <w:rFonts w:ascii="Times New Roman" w:hAnsi="Times New Roman"/>
                <w:b/>
                <w:bCs/>
                <w:sz w:val="21"/>
                <w:szCs w:val="21"/>
              </w:rPr>
              <w:t>Reporting for LTM</w:t>
            </w:r>
          </w:p>
          <w:p>
            <w:pPr>
              <w:numPr>
                <w:ilvl w:val="255"/>
                <w:numId w:val="0"/>
              </w:numPr>
              <w:spacing w:after="80" w:line="240" w:lineRule="auto"/>
              <w:jc w:val="center"/>
              <w:rPr>
                <w:rFonts w:ascii="Times New Roman" w:hAnsi="Times New Roman"/>
                <w:sz w:val="20"/>
                <w:szCs w:val="20"/>
              </w:rPr>
            </w:pPr>
            <w:r>
              <w:rPr>
                <w:rFonts w:ascii="Times New Roman" w:hAnsi="Times New Roman"/>
                <w:bCs/>
                <w:color w:val="FF0000"/>
                <w:sz w:val="20"/>
                <w:szCs w:val="20"/>
              </w:rPr>
              <w:t>&lt;Unchanged part omitted&gt;</w:t>
            </w:r>
          </w:p>
          <w:p>
            <w:pPr>
              <w:numPr>
                <w:ilvl w:val="255"/>
                <w:numId w:val="0"/>
              </w:numPr>
              <w:spacing w:after="60" w:line="240" w:lineRule="auto"/>
              <w:jc w:val="both"/>
              <w:rPr>
                <w:rFonts w:ascii="Times New Roman" w:hAnsi="Times New Roman" w:eastAsia="宋体"/>
                <w:sz w:val="20"/>
                <w:szCs w:val="20"/>
              </w:rPr>
            </w:pPr>
            <w:r>
              <w:rPr>
                <w:rFonts w:ascii="Times New Roman" w:hAnsi="Times New Roman" w:eastAsia="宋体"/>
                <w:sz w:val="20"/>
                <w:szCs w:val="20"/>
              </w:rPr>
              <w:t>After a UE receives an LTM Cell Switch Command MAC CE [10, TS 38.321] providing a candidate cell (given by Target Configuration ID field), and a [</w:t>
            </w:r>
            <w:r>
              <w:rPr>
                <w:rFonts w:ascii="Times New Roman" w:hAnsi="Times New Roman" w:eastAsia="宋体"/>
                <w:i/>
                <w:iCs/>
                <w:sz w:val="20"/>
                <w:szCs w:val="20"/>
              </w:rPr>
              <w:t>ltm-eCSI-ReportConfig</w:t>
            </w:r>
            <w:r>
              <w:rPr>
                <w:rFonts w:ascii="Times New Roman" w:hAnsi="Times New Roman" w:eastAsia="宋体"/>
                <w:sz w:val="20"/>
                <w:szCs w:val="20"/>
              </w:rPr>
              <w:t xml:space="preserve">] is configured for the candidate cell, the UE can measure </w:t>
            </w:r>
            <w:r>
              <w:rPr>
                <w:rFonts w:ascii="Times New Roman" w:hAnsi="Times New Roman" w:eastAsia="宋体"/>
                <w:strike w:val="0"/>
                <w:color w:val="auto"/>
                <w:sz w:val="20"/>
                <w:szCs w:val="20"/>
              </w:rPr>
              <w:t xml:space="preserve">corresponding NZP </w:t>
            </w:r>
            <w:r>
              <w:rPr>
                <w:rFonts w:ascii="Times New Roman" w:hAnsi="Times New Roman" w:eastAsia="宋体"/>
                <w:sz w:val="20"/>
                <w:szCs w:val="20"/>
              </w:rPr>
              <w:t>CSI-RS resources</w:t>
            </w:r>
            <w:r>
              <w:rPr>
                <w:rFonts w:hint="eastAsia" w:ascii="Times New Roman" w:hAnsi="Times New Roman" w:eastAsia="宋体"/>
                <w:sz w:val="20"/>
                <w:szCs w:val="20"/>
              </w:rPr>
              <w:t xml:space="preserve"> </w:t>
            </w:r>
            <w:r>
              <w:rPr>
                <w:rFonts w:hint="eastAsia" w:ascii="Times New Roman" w:hAnsi="Times New Roman"/>
                <w:color w:val="FF0000"/>
                <w:sz w:val="20"/>
                <w:szCs w:val="20"/>
              </w:rPr>
              <w:t xml:space="preserve">with higher layer parameter </w:t>
            </w:r>
            <w:r>
              <w:rPr>
                <w:rFonts w:hint="eastAsia" w:ascii="Times New Roman" w:hAnsi="Times New Roman"/>
                <w:i/>
                <w:iCs/>
                <w:color w:val="FF0000"/>
                <w:sz w:val="20"/>
                <w:szCs w:val="20"/>
              </w:rPr>
              <w:t>resourceType</w:t>
            </w:r>
            <w:r>
              <w:rPr>
                <w:rFonts w:hint="eastAsia" w:ascii="Times New Roman" w:hAnsi="Times New Roman"/>
                <w:color w:val="FF0000"/>
                <w:sz w:val="20"/>
                <w:szCs w:val="20"/>
              </w:rPr>
              <w:t xml:space="preserve"> set to 'periodic' </w:t>
            </w:r>
            <w:r>
              <w:rPr>
                <w:rFonts w:ascii="Times New Roman" w:hAnsi="Times New Roman" w:eastAsia="宋体"/>
                <w:color w:val="FF0000"/>
                <w:sz w:val="20"/>
                <w:szCs w:val="20"/>
              </w:rPr>
              <w:t xml:space="preserve">and/or CSI-IM resources, </w:t>
            </w:r>
            <w:r>
              <w:rPr>
                <w:rFonts w:hint="eastAsia" w:ascii="Times New Roman" w:hAnsi="Times New Roman"/>
                <w:color w:val="FF0000"/>
                <w:sz w:val="20"/>
                <w:szCs w:val="20"/>
              </w:rPr>
              <w:t>starting from the first slot that is after slot</w:t>
            </w:r>
            <m:oMath>
              <m:r>
                <m:rPr>
                  <m:sty m:val="p"/>
                </m:rPr>
                <w:rPr>
                  <w:rFonts w:ascii="Cambria Math" w:hAnsi="Cambria Math"/>
                  <w:color w:val="FF0000"/>
                  <w:sz w:val="20"/>
                  <w:szCs w:val="20"/>
                </w:rPr>
                <m:t xml:space="preserve"> n+</m:t>
              </m:r>
              <m:sSubSup>
                <m:sSubSupPr>
                  <m:ctrlPr>
                    <w:rPr>
                      <w:rFonts w:ascii="Cambria Math" w:hAnsi="Cambria Math"/>
                      <w:color w:val="FF0000"/>
                      <w:sz w:val="20"/>
                      <w:szCs w:val="20"/>
                    </w:rPr>
                  </m:ctrlPr>
                </m:sSubSupPr>
                <m:e>
                  <m:r>
                    <m:rPr>
                      <m:sty m:val="p"/>
                    </m:rPr>
                    <w:rPr>
                      <w:rFonts w:ascii="Cambria Math" w:hAnsi="Cambria Math"/>
                      <w:color w:val="FF0000"/>
                      <w:sz w:val="20"/>
                      <w:szCs w:val="20"/>
                    </w:rPr>
                    <m:t>3N</m:t>
                  </m:r>
                  <m:ctrlPr>
                    <w:rPr>
                      <w:rFonts w:ascii="Cambria Math" w:hAnsi="Cambria Math"/>
                      <w:color w:val="FF0000"/>
                      <w:sz w:val="20"/>
                      <w:szCs w:val="20"/>
                    </w:rPr>
                  </m:ctrlPr>
                </m:e>
                <m:sub>
                  <m:r>
                    <m:rPr>
                      <m:sty m:val="p"/>
                    </m:rPr>
                    <w:rPr>
                      <w:rFonts w:ascii="Cambria Math" w:hAnsi="Cambria Math"/>
                      <w:color w:val="FF0000"/>
                      <w:sz w:val="20"/>
                      <w:szCs w:val="20"/>
                    </w:rPr>
                    <m:t>slot</m:t>
                  </m:r>
                  <m:ctrlPr>
                    <w:rPr>
                      <w:rFonts w:ascii="Cambria Math" w:hAnsi="Cambria Math"/>
                      <w:color w:val="FF0000"/>
                      <w:sz w:val="20"/>
                      <w:szCs w:val="20"/>
                    </w:rPr>
                  </m:ctrlPr>
                </m:sub>
                <m:sup>
                  <m:r>
                    <m:rPr>
                      <m:sty m:val="p"/>
                    </m:rPr>
                    <w:rPr>
                      <w:rFonts w:ascii="Cambria Math" w:hAnsi="Cambria Math"/>
                      <w:color w:val="FF0000"/>
                      <w:sz w:val="20"/>
                      <w:szCs w:val="20"/>
                    </w:rPr>
                    <m:t>subframe,µ</m:t>
                  </m:r>
                  <m:ctrlPr>
                    <w:rPr>
                      <w:rFonts w:ascii="Cambria Math" w:hAnsi="Cambria Math"/>
                      <w:color w:val="FF0000"/>
                      <w:sz w:val="20"/>
                      <w:szCs w:val="20"/>
                    </w:rPr>
                  </m:ctrlPr>
                </m:sup>
              </m:sSubSup>
            </m:oMath>
            <w:r>
              <w:rPr>
                <w:rFonts w:ascii="Times New Roman" w:hAnsi="Times New Roman"/>
                <w:color w:val="FF0000"/>
                <w:sz w:val="20"/>
                <w:szCs w:val="20"/>
              </w:rPr>
              <w:t>, where the UE would transmit a PUCCH</w:t>
            </w:r>
            <w:r>
              <w:rPr>
                <w:rFonts w:hint="eastAsia" w:ascii="Times New Roman" w:hAnsi="Times New Roman"/>
                <w:color w:val="FF0000"/>
                <w:sz w:val="20"/>
                <w:szCs w:val="20"/>
                <w:lang w:val="en-US" w:eastAsia="zh-CN"/>
              </w:rPr>
              <w:t xml:space="preserve"> or PUSCH</w:t>
            </w:r>
            <w:r>
              <w:rPr>
                <w:rFonts w:ascii="Times New Roman" w:hAnsi="Times New Roman"/>
                <w:color w:val="FF0000"/>
                <w:sz w:val="20"/>
                <w:szCs w:val="20"/>
              </w:rPr>
              <w:t xml:space="preserve"> with HARQ-ACK information in slot n corresponding to the </w:t>
            </w:r>
            <w:r>
              <w:rPr>
                <w:rFonts w:hint="eastAsia" w:ascii="Times New Roman" w:hAnsi="Times New Roman"/>
                <w:color w:val="FF0000"/>
                <w:sz w:val="20"/>
                <w:szCs w:val="20"/>
              </w:rPr>
              <w:t>PDSCH carrying the LTM Cell Switch Command MAC CE</w:t>
            </w:r>
            <w:r>
              <w:rPr>
                <w:rFonts w:ascii="Times New Roman" w:hAnsi="Times New Roman"/>
                <w:color w:val="FF0000"/>
                <w:sz w:val="20"/>
                <w:szCs w:val="20"/>
              </w:rPr>
              <w:t xml:space="preserve"> and</w:t>
            </w:r>
            <w:r>
              <w:rPr>
                <w:rFonts w:hint="eastAsia" w:ascii="Times New Roman" w:hAnsi="Times New Roman"/>
                <w:color w:val="FF0000"/>
                <w:sz w:val="20"/>
                <w:szCs w:val="20"/>
              </w:rPr>
              <w:t xml:space="preserve"> </w:t>
            </w:r>
            <w:r>
              <w:rPr>
                <w:rFonts w:ascii="Symbol" w:hAnsi="Symbol"/>
                <w:i/>
                <w:color w:val="FF0000"/>
              </w:rPr>
              <w:t></w:t>
            </w:r>
            <w:r>
              <w:rPr>
                <w:rFonts w:ascii="Times New Roman" w:hAnsi="Times New Roman"/>
                <w:color w:val="FF0000"/>
                <w:sz w:val="20"/>
                <w:szCs w:val="20"/>
              </w:rPr>
              <w:t xml:space="preserve"> is the SCS configuration for the PUCCH or PUSCH</w:t>
            </w:r>
            <w:r>
              <w:rPr>
                <w:rFonts w:hint="eastAsia" w:ascii="Times New Roman" w:hAnsi="Times New Roman"/>
                <w:color w:val="FF0000"/>
                <w:sz w:val="20"/>
                <w:szCs w:val="20"/>
              </w:rPr>
              <w:t xml:space="preserve">, </w:t>
            </w:r>
            <w:r>
              <w:rPr>
                <w:rFonts w:ascii="Times New Roman" w:hAnsi="Times New Roman" w:eastAsia="宋体"/>
                <w:sz w:val="20"/>
                <w:szCs w:val="20"/>
              </w:rPr>
              <w:t>and shall transmit a CSI report to the candidate cell.</w:t>
            </w:r>
          </w:p>
          <w:p>
            <w:pPr>
              <w:numPr>
                <w:ilvl w:val="255"/>
                <w:numId w:val="0"/>
              </w:numPr>
              <w:spacing w:line="240" w:lineRule="auto"/>
              <w:jc w:val="center"/>
              <w:rPr>
                <w:bCs/>
                <w:color w:val="FF0000"/>
              </w:rPr>
            </w:pPr>
            <w:r>
              <w:rPr>
                <w:rFonts w:ascii="Times New Roman" w:hAnsi="Times New Roman"/>
                <w:bCs/>
                <w:color w:val="FF0000"/>
                <w:sz w:val="20"/>
                <w:szCs w:val="20"/>
              </w:rPr>
              <w:t>&lt;Unchanged part omitted&gt;</w:t>
            </w:r>
          </w:p>
        </w:tc>
      </w:tr>
    </w:tbl>
    <w:p>
      <w:pPr>
        <w:pStyle w:val="3"/>
        <w:numPr>
          <w:ilvl w:val="1"/>
          <w:numId w:val="1"/>
        </w:numPr>
        <w:rPr>
          <w:lang w:val="en-US"/>
        </w:rPr>
      </w:pPr>
      <w:r>
        <w:rPr>
          <w:rFonts w:hint="eastAsia" w:eastAsia="宋体"/>
          <w:lang w:val="en-US"/>
        </w:rPr>
        <w:t>Deactivation of Semi-persistent CSI-RS</w:t>
      </w:r>
    </w:p>
    <w:p>
      <w:pPr>
        <w:numPr>
          <w:ilvl w:val="255"/>
          <w:numId w:val="0"/>
        </w:numPr>
        <w:spacing w:after="0" w:line="240" w:lineRule="auto"/>
        <w:jc w:val="both"/>
        <w:rPr>
          <w:rFonts w:ascii="Times New Roman" w:hAnsi="Times New Roman"/>
          <w:b/>
          <w:bCs/>
          <w:sz w:val="20"/>
          <w:szCs w:val="20"/>
        </w:rPr>
      </w:pPr>
      <w:r>
        <w:rPr>
          <w:rFonts w:hint="eastAsia" w:ascii="Times New Roman" w:hAnsi="Times New Roman"/>
          <w:b/>
          <w:bCs/>
          <w:sz w:val="20"/>
          <w:szCs w:val="20"/>
        </w:rPr>
        <w:t>Reason for change:</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RAN1#120 meeting, it has agreed to support semi-persistent CSI-RS for L1-RSRP measurement, as follows.</w:t>
      </w:r>
    </w:p>
    <w:tbl>
      <w:tblPr>
        <w:tblStyle w:val="29"/>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9" w:type="dxa"/>
          </w:tcPr>
          <w:p>
            <w:pPr>
              <w:pStyle w:val="133"/>
              <w:spacing w:after="60" w:line="300" w:lineRule="exact"/>
              <w:ind w:firstLine="0" w:firstLineChars="0"/>
              <w:rPr>
                <w:rFonts w:eastAsia="Batang"/>
                <w:b/>
                <w:bCs/>
                <w:u w:val="single"/>
                <w:lang w:bidi="ar"/>
              </w:rPr>
            </w:pPr>
            <w:r>
              <w:rPr>
                <w:rFonts w:eastAsia="Batang"/>
                <w:b/>
                <w:bCs/>
                <w:u w:val="single"/>
                <w:lang w:bidi="ar"/>
              </w:rPr>
              <w:t>Agreement</w:t>
            </w:r>
          </w:p>
          <w:p>
            <w:pPr>
              <w:pStyle w:val="101"/>
              <w:numPr>
                <w:ilvl w:val="255"/>
                <w:numId w:val="0"/>
              </w:numPr>
              <w:snapToGrid w:val="0"/>
              <w:spacing w:after="0" w:line="240" w:lineRule="exact"/>
              <w:rPr>
                <w:rFonts w:ascii="Times New Roman" w:hAnsi="Times New Roman"/>
                <w:sz w:val="20"/>
                <w:szCs w:val="16"/>
              </w:rPr>
            </w:pPr>
            <w:r>
              <w:rPr>
                <w:rFonts w:ascii="Times New Roman" w:hAnsi="Times New Roman"/>
                <w:sz w:val="20"/>
                <w:szCs w:val="16"/>
              </w:rPr>
              <w:t>Confirm the following working assumption made in RAN1#118bis</w:t>
            </w:r>
          </w:p>
          <w:p>
            <w:pPr>
              <w:spacing w:after="0" w:line="240" w:lineRule="exact"/>
              <w:ind w:left="880" w:leftChars="400"/>
              <w:rPr>
                <w:rFonts w:ascii="Times New Roman" w:hAnsi="Times New Roman"/>
                <w:b/>
                <w:bCs/>
                <w:i/>
                <w:iCs/>
                <w:sz w:val="20"/>
                <w:szCs w:val="16"/>
              </w:rPr>
            </w:pPr>
            <w:r>
              <w:rPr>
                <w:rFonts w:ascii="Times New Roman" w:hAnsi="Times New Roman"/>
                <w:b/>
                <w:bCs/>
                <w:i/>
                <w:iCs/>
                <w:sz w:val="20"/>
                <w:szCs w:val="16"/>
                <w:highlight w:val="darkYellow"/>
              </w:rPr>
              <w:t>Working Assumption(RAN1#118bis)</w:t>
            </w:r>
          </w:p>
          <w:p>
            <w:pPr>
              <w:spacing w:after="0" w:line="240" w:lineRule="exact"/>
              <w:ind w:left="880" w:leftChars="400"/>
              <w:rPr>
                <w:rFonts w:ascii="Times New Roman" w:hAnsi="Times New Roman"/>
                <w:i/>
                <w:iCs/>
                <w:sz w:val="20"/>
                <w:szCs w:val="16"/>
              </w:rPr>
            </w:pPr>
            <w:r>
              <w:rPr>
                <w:rFonts w:ascii="Times New Roman" w:hAnsi="Times New Roman"/>
                <w:i/>
                <w:iCs/>
                <w:sz w:val="20"/>
                <w:szCs w:val="16"/>
              </w:rPr>
              <w:t>In addition to periodic CSI-RS, semi-persistent CSI-RS is supported for candidate cell L1-RSRP measurement for gNB scheduled reporting from RAN1 perspective</w:t>
            </w:r>
          </w:p>
          <w:p>
            <w:pPr>
              <w:pStyle w:val="101"/>
              <w:snapToGrid w:val="0"/>
              <w:spacing w:after="0" w:line="240" w:lineRule="exact"/>
              <w:ind w:left="1200" w:firstLine="400"/>
              <w:rPr>
                <w:rFonts w:ascii="Times New Roman" w:hAnsi="Times New Roman"/>
                <w:i/>
                <w:iCs/>
                <w:sz w:val="20"/>
                <w:szCs w:val="16"/>
              </w:rPr>
            </w:pPr>
            <w:r>
              <w:rPr>
                <w:rFonts w:ascii="Times New Roman" w:hAnsi="Times New Roman"/>
                <w:i/>
                <w:iCs/>
                <w:sz w:val="20"/>
                <w:szCs w:val="16"/>
              </w:rPr>
              <w:t>Send an LS to RAN3 (CC RAN2) to ask for the feasibility of specifying the signalling for coordination between serving cell and candidate cell(s) on the transmission of semi-persistent CSI-RS(s) and any other potential issues (e.g. RAN3 workload).</w:t>
            </w:r>
          </w:p>
          <w:p>
            <w:pPr>
              <w:spacing w:after="0" w:line="240" w:lineRule="exact"/>
              <w:ind w:left="880" w:leftChars="400"/>
              <w:rPr>
                <w:rFonts w:ascii="Times New Roman" w:hAnsi="Times New Roman"/>
                <w:i/>
                <w:iCs/>
                <w:sz w:val="20"/>
                <w:szCs w:val="16"/>
              </w:rPr>
            </w:pPr>
            <w:r>
              <w:rPr>
                <w:rFonts w:ascii="Times New Roman" w:hAnsi="Times New Roman"/>
                <w:i/>
                <w:iCs/>
                <w:sz w:val="20"/>
                <w:szCs w:val="16"/>
              </w:rPr>
              <w:t>Support of semi-persistent CSI-RS is subject to UE capability.</w:t>
            </w:r>
          </w:p>
          <w:p>
            <w:pPr>
              <w:pStyle w:val="101"/>
              <w:numPr>
                <w:ilvl w:val="0"/>
                <w:numId w:val="9"/>
              </w:numPr>
              <w:snapToGrid w:val="0"/>
              <w:spacing w:after="0" w:line="240" w:lineRule="exact"/>
              <w:ind w:firstLine="400"/>
              <w:rPr>
                <w:rFonts w:ascii="Times New Roman" w:hAnsi="Times New Roman"/>
                <w:sz w:val="20"/>
                <w:szCs w:val="16"/>
              </w:rPr>
            </w:pPr>
            <w:r>
              <w:rPr>
                <w:rFonts w:ascii="Times New Roman" w:hAnsi="Times New Roman"/>
                <w:sz w:val="20"/>
                <w:szCs w:val="16"/>
              </w:rPr>
              <w:t>MAC CE is used to activate/deactivate the semi-persistent CSI-RS resource similarly to the legacy mechanism for a serving cell which will be specified in RAN2</w:t>
            </w:r>
          </w:p>
          <w:p>
            <w:pPr>
              <w:numPr>
                <w:ilvl w:val="255"/>
                <w:numId w:val="0"/>
              </w:numPr>
              <w:spacing w:after="120" w:line="240" w:lineRule="exact"/>
              <w:rPr>
                <w:rFonts w:ascii="Times New Roman" w:hAnsi="Times New Roman"/>
                <w:sz w:val="20"/>
                <w:szCs w:val="20"/>
              </w:rPr>
            </w:pPr>
            <w:r>
              <w:rPr>
                <w:rFonts w:ascii="Times New Roman" w:hAnsi="Times New Roman"/>
                <w:sz w:val="20"/>
                <w:szCs w:val="16"/>
              </w:rPr>
              <w:t xml:space="preserve">Send an LS to RAN2 to inform this agreement. </w:t>
            </w:r>
            <w:r>
              <w:rPr>
                <w:rFonts w:ascii="Times New Roman" w:hAnsi="Times New Roman"/>
                <w:sz w:val="20"/>
                <w:szCs w:val="16"/>
                <w:highlight w:val="green"/>
              </w:rPr>
              <w:t>Final LS in R1-2501500.</w:t>
            </w:r>
          </w:p>
        </w:tc>
      </w:tr>
    </w:tbl>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RAN1#120bis meeting, semi-persistent CSI-RS is also supported for CSI acquisition. Whether to support semi-persistent CSI-RS for L1-RSRP measurement and CSI acquisition is up to UE capability. </w:t>
      </w:r>
    </w:p>
    <w:tbl>
      <w:tblPr>
        <w:tblStyle w:val="29"/>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4" w:type="dxa"/>
          </w:tcPr>
          <w:p>
            <w:pPr>
              <w:pStyle w:val="133"/>
              <w:spacing w:after="60" w:line="300" w:lineRule="exact"/>
              <w:ind w:firstLine="0" w:firstLineChars="0"/>
              <w:rPr>
                <w:rFonts w:eastAsia="Batang"/>
                <w:b/>
                <w:bCs/>
                <w:u w:val="single"/>
                <w:lang w:bidi="ar"/>
              </w:rPr>
            </w:pPr>
            <w:r>
              <w:rPr>
                <w:rFonts w:eastAsia="Batang"/>
                <w:b/>
                <w:bCs/>
                <w:u w:val="single"/>
                <w:lang w:bidi="ar"/>
              </w:rPr>
              <w:t>Agreement</w:t>
            </w:r>
          </w:p>
          <w:p>
            <w:pPr>
              <w:numPr>
                <w:ilvl w:val="255"/>
                <w:numId w:val="0"/>
              </w:numPr>
              <w:snapToGrid w:val="0"/>
              <w:spacing w:after="0" w:line="240" w:lineRule="exact"/>
              <w:jc w:val="both"/>
              <w:rPr>
                <w:rFonts w:ascii="Times New Roman" w:hAnsi="Times New Roman" w:eastAsia="Batang"/>
                <w:sz w:val="20"/>
                <w:szCs w:val="20"/>
              </w:rPr>
            </w:pPr>
            <w:r>
              <w:rPr>
                <w:rFonts w:ascii="Times New Roman" w:hAnsi="Times New Roman" w:eastAsia="Batang"/>
                <w:sz w:val="20"/>
                <w:szCs w:val="20"/>
                <w:lang w:bidi="ar"/>
              </w:rPr>
              <w:t>For candidate cell CSI acquisition</w:t>
            </w:r>
          </w:p>
          <w:p>
            <w:pPr>
              <w:numPr>
                <w:ilvl w:val="0"/>
                <w:numId w:val="10"/>
              </w:numPr>
              <w:snapToGrid w:val="0"/>
              <w:spacing w:after="0" w:line="240" w:lineRule="exact"/>
              <w:jc w:val="both"/>
              <w:rPr>
                <w:rFonts w:ascii="Times New Roman" w:hAnsi="Times New Roman" w:eastAsia="Batang"/>
                <w:sz w:val="20"/>
                <w:szCs w:val="20"/>
              </w:rPr>
            </w:pPr>
            <w:r>
              <w:rPr>
                <w:rFonts w:ascii="Times New Roman" w:hAnsi="Times New Roman" w:eastAsia="Batang"/>
                <w:sz w:val="20"/>
                <w:szCs w:val="20"/>
              </w:rPr>
              <w:t xml:space="preserve">In addition to periodic CSI-RS resource, semi-persistent CSI-RS resource is supported </w:t>
            </w:r>
          </w:p>
          <w:p>
            <w:pPr>
              <w:numPr>
                <w:ilvl w:val="0"/>
                <w:numId w:val="11"/>
              </w:numPr>
              <w:snapToGrid w:val="0"/>
              <w:spacing w:after="0" w:line="240" w:lineRule="exact"/>
              <w:jc w:val="both"/>
              <w:rPr>
                <w:rFonts w:ascii="Times New Roman" w:hAnsi="Times New Roman" w:eastAsia="Batang"/>
                <w:sz w:val="20"/>
                <w:szCs w:val="20"/>
              </w:rPr>
            </w:pPr>
            <w:r>
              <w:rPr>
                <w:rFonts w:ascii="Times New Roman" w:hAnsi="Times New Roman" w:eastAsia="Batang"/>
                <w:sz w:val="20"/>
                <w:szCs w:val="20"/>
              </w:rPr>
              <w:t>Support of semi-persistent CSI-RS resource is subject to separate UE capability.</w:t>
            </w:r>
          </w:p>
          <w:p>
            <w:pPr>
              <w:numPr>
                <w:ilvl w:val="0"/>
                <w:numId w:val="10"/>
              </w:numPr>
              <w:snapToGrid w:val="0"/>
              <w:spacing w:after="0" w:line="240" w:lineRule="exact"/>
              <w:jc w:val="both"/>
              <w:rPr>
                <w:rFonts w:ascii="Times New Roman" w:hAnsi="Times New Roman" w:eastAsia="Batang"/>
                <w:sz w:val="20"/>
                <w:szCs w:val="20"/>
              </w:rPr>
            </w:pPr>
            <w:r>
              <w:rPr>
                <w:rFonts w:ascii="Times New Roman" w:hAnsi="Times New Roman" w:eastAsia="Batang"/>
                <w:sz w:val="20"/>
                <w:szCs w:val="20"/>
              </w:rPr>
              <w:t>MAC CE is used to activate/deactivate the semi-persistent CSI-RS resource similarly to the legacy mechanism for a serving cell which will be specified in RAN2</w:t>
            </w:r>
          </w:p>
          <w:p>
            <w:pPr>
              <w:numPr>
                <w:ilvl w:val="255"/>
                <w:numId w:val="0"/>
              </w:numPr>
              <w:snapToGrid w:val="0"/>
              <w:spacing w:after="0" w:line="240" w:lineRule="exact"/>
              <w:jc w:val="both"/>
              <w:rPr>
                <w:rFonts w:ascii="Times New Roman" w:hAnsi="Times New Roman" w:eastAsia="Batang"/>
                <w:sz w:val="20"/>
                <w:szCs w:val="20"/>
              </w:rPr>
            </w:pPr>
            <w:r>
              <w:rPr>
                <w:rFonts w:ascii="Times New Roman" w:hAnsi="Times New Roman" w:eastAsia="Batang"/>
                <w:sz w:val="20"/>
                <w:szCs w:val="20"/>
                <w:lang w:bidi="ar"/>
              </w:rPr>
              <w:t>Send an LS to RAN2 and RAN3 to inform this agreement.</w:t>
            </w:r>
          </w:p>
        </w:tc>
      </w:tr>
    </w:tbl>
    <w:p>
      <w:pPr>
        <w:numPr>
          <w:ilvl w:val="255"/>
          <w:numId w:val="0"/>
        </w:numPr>
        <w:spacing w:before="120" w:after="0" w:line="240" w:lineRule="auto"/>
        <w:rPr>
          <w:rFonts w:ascii="Times New Roman" w:hAnsi="Times New Roman"/>
          <w:sz w:val="20"/>
          <w:szCs w:val="20"/>
        </w:rPr>
      </w:pPr>
      <w:r>
        <w:rPr>
          <w:rFonts w:hint="eastAsia" w:ascii="Times New Roman" w:hAnsi="Times New Roman"/>
          <w:sz w:val="20"/>
          <w:szCs w:val="20"/>
        </w:rPr>
        <w:t>However, the rule for semi-persistent CSI-RS deactivation remain</w:t>
      </w:r>
      <w:r>
        <w:rPr>
          <w:rFonts w:ascii="Times New Roman" w:hAnsi="Times New Roman"/>
          <w:sz w:val="20"/>
          <w:szCs w:val="20"/>
        </w:rPr>
        <w:t>s</w:t>
      </w:r>
      <w:r>
        <w:rPr>
          <w:rFonts w:hint="eastAsia" w:ascii="Times New Roman" w:hAnsi="Times New Roman"/>
          <w:sz w:val="20"/>
          <w:szCs w:val="20"/>
        </w:rPr>
        <w:t xml:space="preserve"> unclear so far.</w:t>
      </w:r>
      <w:bookmarkStart w:id="9" w:name="_Hlk196380844"/>
    </w:p>
    <w:bookmarkEnd w:id="9"/>
    <w:p>
      <w:pPr>
        <w:spacing w:before="120" w:after="60" w:line="240" w:lineRule="auto"/>
        <w:jc w:val="both"/>
        <w:rPr>
          <w:rFonts w:ascii="Times New Roman" w:hAnsi="Times New Roman"/>
          <w:b/>
          <w:bCs/>
          <w:sz w:val="20"/>
          <w:szCs w:val="20"/>
        </w:rPr>
      </w:pPr>
      <w:r>
        <w:rPr>
          <w:rFonts w:hint="eastAsia" w:ascii="Times New Roman" w:hAnsi="Times New Roman"/>
          <w:b/>
          <w:bCs/>
          <w:sz w:val="20"/>
          <w:szCs w:val="20"/>
        </w:rPr>
        <w:t>Summary of change:</w:t>
      </w:r>
    </w:p>
    <w:p>
      <w:pPr>
        <w:numPr>
          <w:ilvl w:val="0"/>
          <w:numId w:val="8"/>
        </w:numPr>
        <w:spacing w:after="0" w:line="240" w:lineRule="auto"/>
        <w:jc w:val="both"/>
        <w:rPr>
          <w:rFonts w:ascii="Times New Roman" w:hAnsi="Times New Roman"/>
          <w:sz w:val="20"/>
          <w:szCs w:val="20"/>
        </w:rPr>
      </w:pPr>
      <w:r>
        <w:rPr>
          <w:rFonts w:hint="eastAsia" w:ascii="Times New Roman" w:hAnsi="Times New Roman"/>
          <w:sz w:val="20"/>
          <w:szCs w:val="20"/>
        </w:rPr>
        <w:t xml:space="preserve">If SP CSI-RS and/or CSI-IM resources for candidate cells are activated by </w:t>
      </w:r>
      <w:r>
        <w:rPr>
          <w:rFonts w:ascii="Times New Roman" w:hAnsi="Times New Roman"/>
          <w:sz w:val="20"/>
          <w:szCs w:val="20"/>
          <w:highlight w:val="none"/>
        </w:rPr>
        <w:t>[</w:t>
      </w:r>
      <w:r>
        <w:rPr>
          <w:rFonts w:hint="eastAsia" w:ascii="Times New Roman" w:hAnsi="Times New Roman"/>
          <w:sz w:val="20"/>
          <w:szCs w:val="20"/>
        </w:rPr>
        <w:t>SP CSI-RS/CSI-IM Resource Set Activation/Deactivation for Candidate Cell MAC CE</w:t>
      </w:r>
      <w:r>
        <w:rPr>
          <w:rFonts w:ascii="Times New Roman" w:hAnsi="Times New Roman"/>
          <w:sz w:val="20"/>
          <w:szCs w:val="20"/>
          <w:highlight w:val="none"/>
        </w:rPr>
        <w:t>]</w:t>
      </w:r>
      <w:r>
        <w:rPr>
          <w:rFonts w:hint="eastAsia" w:ascii="Times New Roman" w:hAnsi="Times New Roman"/>
          <w:sz w:val="20"/>
          <w:szCs w:val="20"/>
        </w:rPr>
        <w:t xml:space="preserve"> before LTM Cell Switch Command MAC CE, the SP CSI-RS and/or CSI-IM resources for candidate cells other than a candidate cell</w:t>
      </w:r>
      <w:r>
        <w:rPr>
          <w:rFonts w:ascii="Times New Roman" w:hAnsi="Times New Roman"/>
          <w:sz w:val="20"/>
          <w:szCs w:val="20"/>
        </w:rPr>
        <w:t xml:space="preserve"> </w:t>
      </w:r>
      <w:r>
        <w:rPr>
          <w:rFonts w:ascii="Times New Roman" w:hAnsi="Times New Roman"/>
          <w:color w:val="auto"/>
          <w:sz w:val="20"/>
          <w:szCs w:val="20"/>
        </w:rPr>
        <w:t xml:space="preserve">(given by Target Configuration ID field in LTM Cell Switch Command MAC CE) </w:t>
      </w:r>
      <w:r>
        <w:rPr>
          <w:rFonts w:hint="eastAsia" w:ascii="Times New Roman" w:hAnsi="Times New Roman"/>
          <w:sz w:val="20"/>
          <w:szCs w:val="20"/>
        </w:rPr>
        <w:t xml:space="preserve">are deactivated after receiving LTM Cell Switch Command MAC CE.  </w:t>
      </w:r>
    </w:p>
    <w:p>
      <w:pPr>
        <w:numPr>
          <w:ilvl w:val="0"/>
          <w:numId w:val="8"/>
        </w:numPr>
        <w:spacing w:after="0" w:line="240" w:lineRule="auto"/>
        <w:jc w:val="both"/>
        <w:rPr>
          <w:rFonts w:ascii="Times New Roman" w:hAnsi="Times New Roman"/>
          <w:sz w:val="20"/>
          <w:szCs w:val="20"/>
        </w:rPr>
      </w:pPr>
      <w:r>
        <w:rPr>
          <w:rFonts w:hint="eastAsia" w:ascii="Times New Roman" w:hAnsi="Times New Roman"/>
          <w:sz w:val="20"/>
          <w:szCs w:val="20"/>
        </w:rPr>
        <w:t>If SP CSI-RS and/or CSI-IM resources for a candidate cell (given by Target Configuration ID field in LTM Cell Switch Command MAC CE) are activated by [SP CSI-RS/CSI-IM Resource Set Activation/Deactivation for Candidate Cell MAC CE] after LTM Cell Switch Command MAC CE, or for SP CSI-RS and/or CSI-IM  resources for the candidate cell that remain</w:t>
      </w:r>
      <w:r>
        <w:rPr>
          <w:rFonts w:ascii="Times New Roman" w:hAnsi="Times New Roman"/>
          <w:sz w:val="20"/>
          <w:szCs w:val="20"/>
        </w:rPr>
        <w:t xml:space="preserve"> to be</w:t>
      </w:r>
      <w:r>
        <w:rPr>
          <w:rFonts w:hint="eastAsia" w:ascii="Times New Roman" w:hAnsi="Times New Roman"/>
          <w:sz w:val="20"/>
          <w:szCs w:val="20"/>
        </w:rPr>
        <w:t xml:space="preserve"> activated after receiving the LTM Cell Switch Command MAC CE, the SP CSI-RS and/or CSI-IM resources for the candidate cell are deactivated after receiving a SP CSI-RS/CSI-IM Resource Set Activation/Deactivation MAC CE. </w:t>
      </w:r>
    </w:p>
    <w:p>
      <w:pPr>
        <w:spacing w:before="120" w:after="60" w:line="240" w:lineRule="auto"/>
        <w:jc w:val="both"/>
        <w:rPr>
          <w:rFonts w:ascii="Times New Roman" w:hAnsi="Times New Roman"/>
          <w:b/>
          <w:bCs/>
          <w:sz w:val="20"/>
          <w:szCs w:val="20"/>
        </w:rPr>
      </w:pPr>
      <w:r>
        <w:rPr>
          <w:rFonts w:hint="eastAsia" w:ascii="Times New Roman" w:hAnsi="Times New Roman"/>
          <w:b/>
          <w:bCs/>
          <w:sz w:val="20"/>
          <w:szCs w:val="20"/>
        </w:rPr>
        <w:t>Consequence if not approved:</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It is not clear the UE behavior on semi-persistent CSI-RS deactivation for the case that SP CSI-RS resources for candidate cells are activated before LTM Cell Switch Command MAC CE, and for the case that SP CSI-RS resources for target cell are activated after LTM Cell Switch Command MAC CE.</w:t>
      </w:r>
    </w:p>
    <w:p>
      <w:pPr>
        <w:snapToGrid w:val="0"/>
        <w:spacing w:before="108" w:beforeLines="30" w:after="108" w:afterLines="30" w:line="288" w:lineRule="auto"/>
        <w:rPr>
          <w:rFonts w:ascii="Times New Roman" w:hAnsi="Times New Roman"/>
          <w:i/>
          <w:iCs/>
          <w:sz w:val="20"/>
          <w:szCs w:val="20"/>
        </w:rPr>
      </w:pPr>
      <w:r>
        <w:rPr>
          <w:rFonts w:ascii="Times New Roman" w:hAnsi="Times New Roman"/>
          <w:b/>
          <w:bCs/>
          <w:i/>
          <w:iCs/>
          <w:sz w:val="20"/>
          <w:szCs w:val="20"/>
        </w:rPr>
        <w:t xml:space="preserve">Text proposal </w:t>
      </w:r>
      <w:r>
        <w:rPr>
          <w:rFonts w:hint="eastAsia" w:ascii="Times New Roman" w:hAnsi="Times New Roman"/>
          <w:b/>
          <w:bCs/>
          <w:i/>
          <w:iCs/>
          <w:sz w:val="20"/>
          <w:szCs w:val="20"/>
        </w:rPr>
        <w:t>2</w:t>
      </w:r>
      <w:r>
        <w:rPr>
          <w:rFonts w:ascii="Times New Roman" w:hAnsi="Times New Roman"/>
          <w:b/>
          <w:bCs/>
          <w:i/>
          <w:iCs/>
          <w:sz w:val="20"/>
          <w:szCs w:val="20"/>
        </w:rPr>
        <w:t xml:space="preserve">: </w:t>
      </w:r>
      <w:r>
        <w:rPr>
          <w:rFonts w:ascii="Times New Roman" w:hAnsi="Times New Roman"/>
          <w:i/>
          <w:iCs/>
          <w:sz w:val="20"/>
          <w:szCs w:val="20"/>
        </w:rPr>
        <w:t xml:space="preserve">Adopt the following text change in </w:t>
      </w:r>
      <w:r>
        <w:rPr>
          <w:rFonts w:hint="eastAsia" w:ascii="Times New Roman" w:hAnsi="Times New Roman"/>
          <w:i/>
          <w:iCs/>
          <w:sz w:val="20"/>
          <w:szCs w:val="20"/>
        </w:rPr>
        <w:t>Clause</w:t>
      </w:r>
      <w:r>
        <w:rPr>
          <w:rFonts w:ascii="Times New Roman" w:hAnsi="Times New Roman"/>
          <w:i/>
          <w:iCs/>
          <w:sz w:val="20"/>
          <w:szCs w:val="20"/>
        </w:rPr>
        <w:t xml:space="preserve"> </w:t>
      </w:r>
      <w:r>
        <w:rPr>
          <w:rFonts w:hint="eastAsia" w:ascii="Times New Roman" w:hAnsi="Times New Roman"/>
          <w:i/>
          <w:iCs/>
          <w:sz w:val="20"/>
          <w:szCs w:val="20"/>
        </w:rPr>
        <w:t>21</w:t>
      </w:r>
      <w:r>
        <w:rPr>
          <w:rFonts w:ascii="Times New Roman" w:hAnsi="Times New Roman"/>
          <w:i/>
          <w:iCs/>
          <w:sz w:val="20"/>
          <w:szCs w:val="20"/>
        </w:rPr>
        <w:t xml:space="preserve"> of TS 38.21</w:t>
      </w:r>
      <w:r>
        <w:rPr>
          <w:rFonts w:hint="eastAsia" w:ascii="Times New Roman" w:hAnsi="Times New Roman"/>
          <w:i/>
          <w:iCs/>
          <w:sz w:val="20"/>
          <w:szCs w:val="20"/>
        </w:rPr>
        <w:t>3</w:t>
      </w:r>
      <w:r>
        <w:rPr>
          <w:rFonts w:ascii="Times New Roman" w:hAnsi="Times New Roman"/>
          <w:i/>
          <w:iCs/>
          <w:sz w:val="20"/>
          <w:szCs w:val="20"/>
        </w:rPr>
        <w:t>-j00.</w:t>
      </w:r>
    </w:p>
    <w:tbl>
      <w:tblPr>
        <w:tblStyle w:val="28"/>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0" w:type="dxa"/>
          </w:tcPr>
          <w:p>
            <w:pPr>
              <w:numPr>
                <w:ilvl w:val="255"/>
                <w:numId w:val="0"/>
              </w:numPr>
              <w:spacing w:before="120" w:after="60" w:line="240" w:lineRule="auto"/>
              <w:jc w:val="both"/>
              <w:rPr>
                <w:rFonts w:ascii="Times New Roman" w:hAnsi="Times New Roman"/>
                <w:b/>
                <w:bCs/>
                <w:sz w:val="21"/>
                <w:szCs w:val="21"/>
              </w:rPr>
            </w:pPr>
            <w:bookmarkStart w:id="10" w:name="_Toc201953781"/>
            <w:r>
              <w:rPr>
                <w:rFonts w:ascii="Times New Roman" w:hAnsi="Times New Roman"/>
                <w:b/>
                <w:bCs/>
                <w:sz w:val="21"/>
                <w:szCs w:val="21"/>
              </w:rPr>
              <w:t>21</w:t>
            </w:r>
            <w:r>
              <w:rPr>
                <w:rFonts w:ascii="Times New Roman" w:hAnsi="Times New Roman"/>
                <w:b/>
                <w:bCs/>
                <w:sz w:val="21"/>
                <w:szCs w:val="21"/>
              </w:rPr>
              <w:tab/>
            </w:r>
            <w:r>
              <w:rPr>
                <w:rFonts w:ascii="Times New Roman" w:hAnsi="Times New Roman"/>
                <w:b/>
                <w:bCs/>
                <w:sz w:val="21"/>
                <w:szCs w:val="21"/>
              </w:rPr>
              <w:t>L1/L2-triggered mobility procedures</w:t>
            </w:r>
            <w:bookmarkEnd w:id="10"/>
          </w:p>
          <w:p>
            <w:pPr>
              <w:spacing w:after="60" w:line="240" w:lineRule="auto"/>
              <w:jc w:val="both"/>
              <w:rPr>
                <w:rFonts w:ascii="Times New Roman" w:hAnsi="Times New Roman"/>
                <w:sz w:val="20"/>
                <w:szCs w:val="20"/>
              </w:rPr>
            </w:pPr>
            <w:r>
              <w:rPr>
                <w:rFonts w:ascii="Times New Roman" w:hAnsi="Times New Roman" w:eastAsia="Malgun Gothic"/>
                <w:sz w:val="20"/>
                <w:szCs w:val="20"/>
              </w:rPr>
              <w:t xml:space="preserve">A UE can be indicated, by </w:t>
            </w:r>
            <w:r>
              <w:rPr>
                <w:rFonts w:ascii="Times New Roman" w:hAnsi="Times New Roman"/>
                <w:i/>
                <w:iCs/>
                <w:sz w:val="20"/>
                <w:szCs w:val="20"/>
              </w:rPr>
              <w:t>LTM-Config</w:t>
            </w:r>
            <w:r>
              <w:rPr>
                <w:rFonts w:ascii="Times New Roman" w:hAnsi="Times New Roman" w:eastAsia="Malgun Gothic"/>
                <w:sz w:val="20"/>
                <w:szCs w:val="20"/>
              </w:rPr>
              <w:t xml:space="preserve">, candidate cells and </w:t>
            </w:r>
            <w:r>
              <w:rPr>
                <w:rFonts w:ascii="Times New Roman" w:hAnsi="Times New Roman"/>
                <w:sz w:val="20"/>
                <w:szCs w:val="20"/>
              </w:rPr>
              <w:t xml:space="preserve">SS/PBCH blocks or CSI-RS resources per candidate cell for the UE to </w:t>
            </w:r>
            <w:r>
              <w:rPr>
                <w:rFonts w:ascii="Times New Roman" w:hAnsi="Times New Roman" w:eastAsia="Malgun Gothic"/>
                <w:sz w:val="20"/>
                <w:szCs w:val="20"/>
              </w:rPr>
              <w:t xml:space="preserve">obtain synchronization and/or measure corresponding L1-RSRPs </w:t>
            </w:r>
            <w:r>
              <w:rPr>
                <w:rFonts w:ascii="Times New Roman" w:hAnsi="Times New Roman"/>
                <w:sz w:val="20"/>
                <w:szCs w:val="20"/>
                <w:lang w:eastAsia="ja-JP"/>
              </w:rPr>
              <w:t>[10, TS 38.133]</w:t>
            </w:r>
            <w:r>
              <w:rPr>
                <w:rFonts w:ascii="Times New Roman" w:hAnsi="Times New Roman"/>
                <w:sz w:val="20"/>
                <w:szCs w:val="20"/>
              </w:rPr>
              <w:t xml:space="preserve">. A Candidate Cell TCI States Activation/Deactivation MAC CE can activate TCI states, provided by </w:t>
            </w:r>
            <w:r>
              <w:rPr>
                <w:rFonts w:ascii="Times New Roman" w:hAnsi="Times New Roman"/>
                <w:i/>
                <w:iCs/>
                <w:sz w:val="20"/>
                <w:szCs w:val="20"/>
              </w:rPr>
              <w:t>CandidateTCI-State</w:t>
            </w:r>
            <w:r>
              <w:rPr>
                <w:rFonts w:ascii="Times New Roman" w:hAnsi="Times New Roman"/>
                <w:sz w:val="20"/>
                <w:szCs w:val="20"/>
              </w:rPr>
              <w:t xml:space="preserve"> or/and </w:t>
            </w:r>
            <w:r>
              <w:rPr>
                <w:rFonts w:ascii="Times New Roman" w:hAnsi="Times New Roman"/>
                <w:i/>
                <w:iCs/>
                <w:sz w:val="20"/>
                <w:szCs w:val="20"/>
              </w:rPr>
              <w:t>CandidateTCI-UL-State</w:t>
            </w:r>
            <w:r>
              <w:rPr>
                <w:rFonts w:ascii="Times New Roman" w:hAnsi="Times New Roman"/>
                <w:sz w:val="20"/>
                <w:szCs w:val="20"/>
              </w:rPr>
              <w:t xml:space="preserve">, associated with SS/PBCH blocks, or CSI-RS resources in a CSI-RS resource set configured with </w:t>
            </w:r>
            <w:r>
              <w:rPr>
                <w:rFonts w:ascii="Times New Roman" w:hAnsi="Times New Roman"/>
                <w:i/>
                <w:sz w:val="20"/>
                <w:szCs w:val="20"/>
              </w:rPr>
              <w:t>repetition</w:t>
            </w:r>
            <w:r>
              <w:rPr>
                <w:rFonts w:ascii="Times New Roman" w:hAnsi="Times New Roman"/>
                <w:sz w:val="20"/>
                <w:szCs w:val="20"/>
              </w:rPr>
              <w:t>, or TRS of corresponding candidate cells [11, TS 38.321]. The RS index</w:t>
            </w:r>
            <w:r>
              <w:rPr>
                <w:rFonts w:ascii="Times New Roman" w:hAnsi="Times New Roman"/>
                <w:iCs/>
                <w:sz w:val="20"/>
                <w:szCs w:val="20"/>
              </w:rPr>
              <w:t xml:space="preserve"> for obtaining the candidate cell downlink pathloss estimate is provided by </w:t>
            </w:r>
            <w:r>
              <w:rPr>
                <w:rStyle w:val="34"/>
                <w:rFonts w:ascii="Times New Roman" w:hAnsi="Times New Roman"/>
                <w:sz w:val="20"/>
                <w:szCs w:val="20"/>
              </w:rPr>
              <w:t>pathlossReferenceRS-Id</w:t>
            </w:r>
            <w:r>
              <w:rPr>
                <w:rFonts w:ascii="Times New Roman" w:hAnsi="Times New Roman"/>
                <w:iCs/>
                <w:sz w:val="20"/>
                <w:szCs w:val="20"/>
              </w:rPr>
              <w:t xml:space="preserve"> in the </w:t>
            </w:r>
            <w:r>
              <w:rPr>
                <w:rFonts w:ascii="Times New Roman" w:hAnsi="Times New Roman"/>
                <w:i/>
                <w:iCs/>
                <w:sz w:val="20"/>
                <w:szCs w:val="20"/>
              </w:rPr>
              <w:t>CandidateTCI-State</w:t>
            </w:r>
            <w:r>
              <w:rPr>
                <w:rFonts w:ascii="Times New Roman" w:hAnsi="Times New Roman"/>
                <w:sz w:val="20"/>
                <w:szCs w:val="20"/>
              </w:rPr>
              <w:t xml:space="preserve"> or</w:t>
            </w:r>
            <w:r>
              <w:rPr>
                <w:rFonts w:ascii="Times New Roman" w:hAnsi="Times New Roman"/>
                <w:i/>
                <w:iCs/>
                <w:sz w:val="20"/>
                <w:szCs w:val="20"/>
              </w:rPr>
              <w:t xml:space="preserve"> CandidateTCI-UL-State. </w:t>
            </w:r>
            <w:r>
              <w:rPr>
                <w:rFonts w:ascii="Times New Roman" w:hAnsi="Times New Roman"/>
                <w:sz w:val="20"/>
                <w:szCs w:val="20"/>
              </w:rPr>
              <w:t xml:space="preserve">If the Candidate Cell TCI States Activation/Deactivation MAC CE activates TCI states, an LTM Cell Switch Command MAC CE can indicate a TCI state from the activated TCI states; otherwise, the LTM Cell Switch Command MAC CE can activate and indicate a TCI state, provided by </w:t>
            </w:r>
            <w:r>
              <w:rPr>
                <w:rFonts w:ascii="Times New Roman" w:hAnsi="Times New Roman"/>
                <w:i/>
                <w:iCs/>
                <w:sz w:val="20"/>
                <w:szCs w:val="20"/>
              </w:rPr>
              <w:t>CandidateTCI-State</w:t>
            </w:r>
            <w:r>
              <w:rPr>
                <w:rFonts w:ascii="Times New Roman" w:hAnsi="Times New Roman"/>
                <w:sz w:val="20"/>
                <w:szCs w:val="20"/>
              </w:rPr>
              <w:t xml:space="preserve"> or/and </w:t>
            </w:r>
            <w:r>
              <w:rPr>
                <w:rFonts w:ascii="Times New Roman" w:hAnsi="Times New Roman"/>
                <w:i/>
                <w:iCs/>
                <w:sz w:val="20"/>
                <w:szCs w:val="20"/>
              </w:rPr>
              <w:t>CandidateTCI-UL-State</w:t>
            </w:r>
            <w:r>
              <w:rPr>
                <w:rFonts w:ascii="Times New Roman" w:hAnsi="Times New Roman"/>
                <w:sz w:val="20"/>
                <w:szCs w:val="20"/>
              </w:rPr>
              <w:t xml:space="preserve">. After reception of the LTM Cell Switch Command MAC CE, activated TCI states that are not indicated by the MAC CE are deactivated. The UE is provided configurations by </w:t>
            </w:r>
            <w:r>
              <w:rPr>
                <w:rFonts w:ascii="Times New Roman" w:hAnsi="Times New Roman"/>
                <w:i/>
                <w:iCs/>
                <w:sz w:val="20"/>
                <w:szCs w:val="20"/>
              </w:rPr>
              <w:t>ltm-CSI-ReportConfigToAddModList</w:t>
            </w:r>
            <w:r>
              <w:rPr>
                <w:rFonts w:ascii="Times New Roman" w:hAnsi="Times New Roman"/>
                <w:sz w:val="20"/>
                <w:szCs w:val="20"/>
              </w:rPr>
              <w:t xml:space="preserve"> for reporting L1-RSRP measurements [6, TS 38.214] that include a number of candidate cells and a number of SS/PBCH blocks or CSI-RS resources per candidate cell from the number of candidate cells. </w:t>
            </w:r>
          </w:p>
          <w:p>
            <w:pPr>
              <w:numPr>
                <w:ilvl w:val="255"/>
                <w:numId w:val="0"/>
              </w:numPr>
              <w:spacing w:after="60" w:line="240" w:lineRule="auto"/>
              <w:ind w:left="0" w:firstLine="0"/>
              <w:jc w:val="both"/>
              <w:rPr>
                <w:rFonts w:ascii="Times New Roman" w:hAnsi="Times New Roman"/>
                <w:color w:val="FF0000"/>
                <w:sz w:val="20"/>
                <w:szCs w:val="20"/>
              </w:rPr>
            </w:pPr>
            <w:r>
              <w:rPr>
                <w:rFonts w:ascii="Times New Roman" w:hAnsi="Times New Roman"/>
                <w:color w:val="FF0000"/>
                <w:sz w:val="20"/>
                <w:szCs w:val="20"/>
              </w:rPr>
              <w:t>If SP CSI-RS and/or CSI-IM resources for candidate cells are activated by [SP CSI-RS/CSI-IM Resource Set Activation/Deactivation for Candidate Cell MAC CE] before LTM Cell Switch Command MAC CE, the SP CSI-RS and/or CSI-IM resources for candidate cells other than a candidate cell (given by Target Configuration ID field in LTM Cell Switch Command MAC CE) are deactivated after receiving LTM Cell Switch Command MAC CE.</w:t>
            </w:r>
          </w:p>
          <w:p>
            <w:pPr>
              <w:numPr>
                <w:ilvl w:val="255"/>
                <w:numId w:val="0"/>
              </w:numPr>
              <w:spacing w:after="0" w:line="240" w:lineRule="auto"/>
              <w:jc w:val="both"/>
              <w:rPr>
                <w:rFonts w:ascii="Times New Roman" w:hAnsi="Times New Roman"/>
                <w:bCs/>
                <w:color w:val="FF0000"/>
                <w:szCs w:val="20"/>
              </w:rPr>
            </w:pPr>
            <w:r>
              <w:rPr>
                <w:rFonts w:ascii="Times New Roman" w:hAnsi="Times New Roman"/>
                <w:color w:val="FF0000"/>
                <w:sz w:val="20"/>
                <w:szCs w:val="20"/>
              </w:rPr>
              <w:t xml:space="preserve">If SP CSI-RS and/or CSI-IM resources for a candidate cell (given by Target Configuration ID field in LTM Cell Switch Command MAC CE) are activated by [SP CSI-RS/CSI-IM Resource Set Activation/Deactivation for Candidate Cell MAC CE], </w:t>
            </w:r>
            <w:r>
              <w:rPr>
                <w:rFonts w:hint="eastAsia" w:ascii="Times New Roman" w:hAnsi="Times New Roman"/>
                <w:color w:val="FF0000"/>
                <w:sz w:val="20"/>
                <w:szCs w:val="20"/>
                <w:lang w:val="en-US" w:eastAsia="zh-CN"/>
              </w:rPr>
              <w:t>or for the case where</w:t>
            </w:r>
            <w:r>
              <w:rPr>
                <w:rFonts w:ascii="Times New Roman" w:hAnsi="Times New Roman"/>
                <w:color w:val="FF0000"/>
                <w:sz w:val="20"/>
                <w:szCs w:val="20"/>
              </w:rPr>
              <w:t xml:space="preserve"> SP CSI-RS and/or CSI-IM resources for </w:t>
            </w:r>
            <w:r>
              <w:rPr>
                <w:rFonts w:hint="eastAsia" w:ascii="Times New Roman" w:hAnsi="Times New Roman"/>
                <w:color w:val="FF0000"/>
                <w:sz w:val="20"/>
                <w:szCs w:val="20"/>
              </w:rPr>
              <w:t>the</w:t>
            </w:r>
            <w:r>
              <w:rPr>
                <w:rFonts w:ascii="Times New Roman" w:hAnsi="Times New Roman"/>
                <w:color w:val="FF0000"/>
                <w:sz w:val="20"/>
                <w:szCs w:val="20"/>
              </w:rPr>
              <w:t xml:space="preserve"> candidate cell remain to be activated after receiving the LTM Cell Switch Command MAC CE, the SP CSI-RS and/or CSI-IM resources for the candidate cell can be deactivated after receiving SP CSI-RS/CSI-IM Resource Set Activation/Deactivation MAC CE.</w:t>
            </w:r>
          </w:p>
          <w:p>
            <w:pPr>
              <w:numPr>
                <w:ilvl w:val="255"/>
                <w:numId w:val="0"/>
              </w:numPr>
              <w:spacing w:line="240" w:lineRule="auto"/>
              <w:jc w:val="center"/>
              <w:rPr>
                <w:bCs/>
                <w:color w:val="FF0000"/>
              </w:rPr>
            </w:pPr>
            <w:r>
              <w:rPr>
                <w:rFonts w:ascii="Times New Roman" w:hAnsi="Times New Roman"/>
                <w:bCs/>
                <w:color w:val="FF0000"/>
                <w:sz w:val="20"/>
                <w:szCs w:val="20"/>
              </w:rPr>
              <w:t>&lt;Unchanged part omitted&gt;</w:t>
            </w:r>
          </w:p>
        </w:tc>
      </w:tr>
    </w:tbl>
    <w:p>
      <w:pPr>
        <w:pStyle w:val="3"/>
        <w:numPr>
          <w:ilvl w:val="1"/>
          <w:numId w:val="1"/>
        </w:numPr>
        <w:rPr>
          <w:rFonts w:eastAsia="宋体"/>
          <w:lang w:val="en-US"/>
        </w:rPr>
      </w:pPr>
      <w:r>
        <w:rPr>
          <w:rFonts w:hint="eastAsia" w:eastAsia="宋体"/>
          <w:lang w:val="en-US"/>
        </w:rPr>
        <w:t xml:space="preserve">Additional CSI reporting after an invalid CSI is transmitted </w:t>
      </w:r>
    </w:p>
    <w:p>
      <w:pPr>
        <w:numPr>
          <w:ilvl w:val="255"/>
          <w:numId w:val="0"/>
        </w:numPr>
        <w:spacing w:after="0" w:line="240" w:lineRule="auto"/>
        <w:jc w:val="both"/>
        <w:rPr>
          <w:rFonts w:ascii="Times New Roman" w:hAnsi="Times New Roman"/>
          <w:b/>
          <w:bCs/>
          <w:sz w:val="20"/>
          <w:szCs w:val="20"/>
        </w:rPr>
      </w:pPr>
      <w:r>
        <w:rPr>
          <w:rFonts w:hint="eastAsia" w:ascii="Times New Roman" w:hAnsi="Times New Roman"/>
          <w:b/>
          <w:bCs/>
          <w:sz w:val="20"/>
          <w:szCs w:val="20"/>
        </w:rPr>
        <w:t>Reason for change:</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RAN1#120bis meeting, it was agreed that UE transmits a report including a lowest CQI index if valid CSI is not available. </w:t>
      </w:r>
    </w:p>
    <w:tbl>
      <w:tblPr>
        <w:tblStyle w:val="28"/>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9" w:type="dxa"/>
          </w:tcPr>
          <w:p>
            <w:pPr>
              <w:pStyle w:val="133"/>
              <w:spacing w:after="60" w:line="300" w:lineRule="exact"/>
              <w:ind w:firstLine="0" w:firstLineChars="0"/>
              <w:rPr>
                <w:rFonts w:eastAsia="Batang"/>
                <w:b/>
                <w:bCs/>
                <w:u w:val="single"/>
                <w:lang w:bidi="ar"/>
              </w:rPr>
            </w:pPr>
            <w:r>
              <w:rPr>
                <w:rFonts w:eastAsia="Batang"/>
                <w:b/>
                <w:bCs/>
                <w:u w:val="single"/>
                <w:lang w:bidi="ar"/>
              </w:rPr>
              <w:t>Agreement</w:t>
            </w:r>
          </w:p>
          <w:p>
            <w:pPr>
              <w:snapToGrid w:val="0"/>
              <w:spacing w:after="0"/>
              <w:jc w:val="both"/>
              <w:rPr>
                <w:rFonts w:ascii="Times New Roman" w:hAnsi="Times New Roman"/>
              </w:rPr>
            </w:pPr>
            <w:r>
              <w:rPr>
                <w:rFonts w:ascii="Times New Roman" w:hAnsi="Times New Roman" w:eastAsia="Batang"/>
                <w:sz w:val="20"/>
                <w:szCs w:val="24"/>
                <w:lang w:bidi="ar"/>
              </w:rPr>
              <w:t xml:space="preserve">For the solution to avoid blind detection for LTM CSI report if valid CSI is not available, </w:t>
            </w:r>
          </w:p>
          <w:p>
            <w:pPr>
              <w:numPr>
                <w:ilvl w:val="0"/>
                <w:numId w:val="12"/>
              </w:numPr>
              <w:snapToGrid w:val="0"/>
              <w:spacing w:after="0"/>
              <w:jc w:val="both"/>
              <w:rPr>
                <w:rFonts w:ascii="Times New Roman" w:hAnsi="Times New Roman" w:eastAsia="Batang"/>
                <w:sz w:val="20"/>
                <w:szCs w:val="24"/>
                <w:lang w:bidi="ar"/>
              </w:rPr>
            </w:pPr>
            <w:r>
              <w:rPr>
                <w:rFonts w:ascii="Times New Roman" w:hAnsi="Times New Roman" w:eastAsia="Batang"/>
                <w:sz w:val="20"/>
                <w:szCs w:val="24"/>
                <w:lang w:bidi="ar"/>
              </w:rPr>
              <w:t>Option 1: CSI is reported when valid CSI is not available.</w:t>
            </w:r>
          </w:p>
          <w:p>
            <w:pPr>
              <w:numPr>
                <w:ilvl w:val="0"/>
                <w:numId w:val="13"/>
              </w:numPr>
              <w:snapToGrid w:val="0"/>
              <w:spacing w:after="0"/>
              <w:jc w:val="both"/>
              <w:rPr>
                <w:rFonts w:ascii="Times New Roman" w:hAnsi="Times New Roman" w:eastAsia="Batang"/>
                <w:sz w:val="20"/>
                <w:szCs w:val="24"/>
                <w:lang w:bidi="ar"/>
              </w:rPr>
            </w:pPr>
            <w:r>
              <w:rPr>
                <w:rFonts w:ascii="Times New Roman" w:hAnsi="Times New Roman" w:eastAsia="Batang"/>
                <w:sz w:val="20"/>
                <w:szCs w:val="24"/>
                <w:lang w:bidi="ar"/>
              </w:rPr>
              <w:t>Option 1-1: one CQI codepoint is used to indicate that valid CSI is not available.</w:t>
            </w:r>
          </w:p>
          <w:p>
            <w:pPr>
              <w:numPr>
                <w:ilvl w:val="255"/>
                <w:numId w:val="0"/>
              </w:numPr>
              <w:spacing w:after="120" w:line="240" w:lineRule="exact"/>
              <w:rPr>
                <w:rFonts w:ascii="Times New Roman" w:hAnsi="Times New Roman"/>
                <w:sz w:val="20"/>
                <w:szCs w:val="20"/>
              </w:rPr>
            </w:pPr>
            <w:r>
              <w:rPr>
                <w:rFonts w:ascii="Times New Roman" w:hAnsi="Times New Roman" w:eastAsia="Batang"/>
                <w:sz w:val="20"/>
                <w:szCs w:val="24"/>
              </w:rPr>
              <w:t>Option 1-1-1: Codepoint with the lowest CQI index is reported.</w:t>
            </w:r>
          </w:p>
        </w:tc>
      </w:tr>
    </w:tbl>
    <w:p>
      <w:pPr>
        <w:numPr>
          <w:ilvl w:val="255"/>
          <w:numId w:val="0"/>
        </w:numPr>
        <w:snapToGrid w:val="0"/>
        <w:spacing w:before="180" w:after="60" w:line="288" w:lineRule="auto"/>
        <w:jc w:val="both"/>
        <w:rPr>
          <w:rFonts w:ascii="Times New Roman" w:hAnsi="Times New Roman"/>
          <w:i/>
          <w:sz w:val="20"/>
          <w:szCs w:val="20"/>
        </w:rPr>
      </w:pPr>
      <w:r>
        <w:rPr>
          <w:rFonts w:hint="eastAsia" w:ascii="Times New Roman" w:hAnsi="Times New Roman"/>
          <w:sz w:val="20"/>
          <w:szCs w:val="20"/>
        </w:rPr>
        <w:t>However, i</w:t>
      </w:r>
      <w:r>
        <w:rPr>
          <w:rFonts w:hint="eastAsia" w:ascii="Times New Roman" w:hAnsi="Times New Roman"/>
          <w:iCs/>
          <w:sz w:val="20"/>
          <w:szCs w:val="20"/>
        </w:rPr>
        <w:t>n order to achieve fast link adaptation for the target cell after an invalid CSI has been transmitted to the target cell, an additional CSI reporting should be transmitted to the target cell when valid CSI is available, where the valid CSI reporting can be transmitted on CG-PUSCH.</w:t>
      </w:r>
    </w:p>
    <w:p>
      <w:pPr>
        <w:spacing w:before="120" w:after="60" w:line="240" w:lineRule="auto"/>
        <w:jc w:val="both"/>
        <w:rPr>
          <w:rFonts w:ascii="Times New Roman" w:hAnsi="Times New Roman"/>
          <w:b/>
          <w:bCs/>
          <w:sz w:val="20"/>
          <w:szCs w:val="20"/>
        </w:rPr>
      </w:pPr>
      <w:r>
        <w:rPr>
          <w:rFonts w:hint="eastAsia" w:ascii="Times New Roman" w:hAnsi="Times New Roman"/>
          <w:b/>
          <w:bCs/>
          <w:sz w:val="20"/>
          <w:szCs w:val="20"/>
        </w:rPr>
        <w:t>Summary of change:</w:t>
      </w:r>
    </w:p>
    <w:p>
      <w:pPr>
        <w:numPr>
          <w:ilvl w:val="0"/>
          <w:numId w:val="8"/>
        </w:numPr>
        <w:spacing w:after="0" w:line="240" w:lineRule="auto"/>
        <w:jc w:val="both"/>
        <w:rPr>
          <w:rFonts w:ascii="Times New Roman" w:hAnsi="Times New Roman"/>
          <w:sz w:val="20"/>
          <w:szCs w:val="20"/>
        </w:rPr>
      </w:pPr>
      <w:r>
        <w:rPr>
          <w:rFonts w:hint="eastAsia" w:ascii="Times New Roman" w:hAnsi="Times New Roman"/>
          <w:sz w:val="20"/>
          <w:szCs w:val="20"/>
        </w:rPr>
        <w:t xml:space="preserve">Adding UE behavior on an additional CSI reporting after an invalid CSI is transmitted, e.g., </w:t>
      </w:r>
      <w:r>
        <w:rPr>
          <w:rFonts w:ascii="Times New Roman" w:hAnsi="Times New Roman"/>
          <w:sz w:val="20"/>
          <w:szCs w:val="20"/>
        </w:rPr>
        <w:t>a</w:t>
      </w:r>
      <w:r>
        <w:rPr>
          <w:rFonts w:hint="eastAsia" w:ascii="Times New Roman" w:hAnsi="Times New Roman"/>
          <w:sz w:val="20"/>
          <w:szCs w:val="20"/>
        </w:rPr>
        <w:t xml:space="preserve">fter </w:t>
      </w:r>
      <w:r>
        <w:rPr>
          <w:rFonts w:ascii="Times New Roman" w:hAnsi="Times New Roman"/>
          <w:sz w:val="20"/>
          <w:szCs w:val="20"/>
        </w:rPr>
        <w:t xml:space="preserve">a CSI report which contains a CQI corresponding to the lowest CQI </w:t>
      </w:r>
      <w:r>
        <w:rPr>
          <w:rFonts w:ascii="Times New Roman" w:hAnsi="Times New Roman"/>
          <w:color w:val="000000" w:themeColor="text1"/>
          <w:sz w:val="20"/>
          <w:szCs w:val="20"/>
          <w14:textFill>
            <w14:solidFill>
              <w14:schemeClr w14:val="tx1"/>
            </w14:solidFill>
          </w14:textFill>
        </w:rPr>
        <w:t>index</w:t>
      </w:r>
      <w:r>
        <w:rPr>
          <w:rFonts w:hint="eastAsia" w:ascii="Times New Roman" w:hAnsi="Times New Roman"/>
          <w:sz w:val="20"/>
          <w:szCs w:val="20"/>
        </w:rPr>
        <w:t xml:space="preserve"> is transmitted, if a valid CSI is available, the UE shall transmit a CSI reporting which contains a CRI, a CQI, a PMI and a RI.    </w:t>
      </w:r>
    </w:p>
    <w:p>
      <w:pPr>
        <w:spacing w:before="120" w:after="60" w:line="240" w:lineRule="auto"/>
        <w:jc w:val="both"/>
        <w:rPr>
          <w:rFonts w:ascii="Times New Roman" w:hAnsi="Times New Roman"/>
          <w:b/>
          <w:bCs/>
          <w:sz w:val="20"/>
          <w:szCs w:val="20"/>
        </w:rPr>
      </w:pPr>
      <w:r>
        <w:rPr>
          <w:rFonts w:hint="eastAsia" w:ascii="Times New Roman" w:hAnsi="Times New Roman"/>
          <w:b/>
          <w:bCs/>
          <w:sz w:val="20"/>
          <w:szCs w:val="20"/>
        </w:rPr>
        <w:t>Consequence if not approved:</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The early CSI acquisition function is not complete.</w:t>
      </w:r>
    </w:p>
    <w:p>
      <w:pPr>
        <w:snapToGrid w:val="0"/>
        <w:spacing w:before="108" w:beforeLines="30" w:after="108" w:afterLines="30" w:line="288" w:lineRule="auto"/>
        <w:rPr>
          <w:rFonts w:ascii="Times New Roman" w:hAnsi="Times New Roman"/>
          <w:i/>
          <w:iCs/>
          <w:sz w:val="20"/>
          <w:szCs w:val="20"/>
        </w:rPr>
      </w:pPr>
      <w:r>
        <w:rPr>
          <w:rFonts w:ascii="Times New Roman" w:hAnsi="Times New Roman"/>
          <w:b/>
          <w:bCs/>
          <w:i/>
          <w:iCs/>
          <w:sz w:val="20"/>
          <w:szCs w:val="20"/>
        </w:rPr>
        <w:t xml:space="preserve">Text proposal </w:t>
      </w:r>
      <w:r>
        <w:rPr>
          <w:rFonts w:hint="eastAsia" w:ascii="Times New Roman" w:hAnsi="Times New Roman"/>
          <w:b/>
          <w:bCs/>
          <w:i/>
          <w:iCs/>
          <w:sz w:val="20"/>
          <w:szCs w:val="20"/>
        </w:rPr>
        <w:t>3</w:t>
      </w:r>
      <w:r>
        <w:rPr>
          <w:rFonts w:ascii="Times New Roman" w:hAnsi="Times New Roman"/>
          <w:b/>
          <w:bCs/>
          <w:i/>
          <w:iCs/>
          <w:sz w:val="20"/>
          <w:szCs w:val="20"/>
        </w:rPr>
        <w:t xml:space="preserve">: </w:t>
      </w:r>
      <w:r>
        <w:rPr>
          <w:rFonts w:ascii="Times New Roman" w:hAnsi="Times New Roman"/>
          <w:i/>
          <w:iCs/>
          <w:sz w:val="20"/>
          <w:szCs w:val="20"/>
        </w:rPr>
        <w:t xml:space="preserve">Adopt the following text change in </w:t>
      </w:r>
      <w:r>
        <w:rPr>
          <w:rFonts w:hint="eastAsia" w:ascii="Times New Roman" w:hAnsi="Times New Roman"/>
          <w:i/>
          <w:iCs/>
          <w:sz w:val="20"/>
          <w:szCs w:val="20"/>
        </w:rPr>
        <w:t>Clause</w:t>
      </w:r>
      <w:r>
        <w:rPr>
          <w:rFonts w:ascii="Times New Roman" w:hAnsi="Times New Roman"/>
          <w:i/>
          <w:iCs/>
          <w:sz w:val="20"/>
          <w:szCs w:val="20"/>
        </w:rPr>
        <w:t xml:space="preserve"> 5.2.4a of TS 38.214-j00.</w:t>
      </w:r>
    </w:p>
    <w:tbl>
      <w:tblPr>
        <w:tblStyle w:val="28"/>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0" w:type="dxa"/>
          </w:tcPr>
          <w:p>
            <w:pPr>
              <w:numPr>
                <w:ilvl w:val="255"/>
                <w:numId w:val="0"/>
              </w:numPr>
              <w:spacing w:before="120" w:after="60" w:line="240" w:lineRule="auto"/>
              <w:jc w:val="both"/>
              <w:rPr>
                <w:rFonts w:ascii="Times New Roman" w:hAnsi="Times New Roman"/>
                <w:b/>
                <w:bCs/>
                <w:sz w:val="21"/>
                <w:szCs w:val="21"/>
              </w:rPr>
            </w:pPr>
            <w:r>
              <w:rPr>
                <w:rFonts w:ascii="Times New Roman" w:hAnsi="Times New Roman"/>
                <w:b/>
                <w:bCs/>
                <w:sz w:val="21"/>
                <w:szCs w:val="21"/>
              </w:rPr>
              <w:t>5.2.4a CSI</w:t>
            </w:r>
            <w:r>
              <w:rPr>
                <w:rFonts w:ascii="Times New Roman" w:hAnsi="Times New Roman"/>
                <w:b/>
                <w:bCs/>
                <w:sz w:val="21"/>
                <w:szCs w:val="21"/>
              </w:rPr>
              <w:tab/>
            </w:r>
            <w:r>
              <w:rPr>
                <w:rFonts w:ascii="Times New Roman" w:hAnsi="Times New Roman"/>
                <w:b/>
                <w:bCs/>
                <w:sz w:val="21"/>
                <w:szCs w:val="21"/>
              </w:rPr>
              <w:t>Reporting for LTM</w:t>
            </w:r>
          </w:p>
          <w:p>
            <w:pPr>
              <w:numPr>
                <w:ilvl w:val="255"/>
                <w:numId w:val="0"/>
              </w:numPr>
              <w:spacing w:line="240" w:lineRule="auto"/>
              <w:jc w:val="center"/>
              <w:rPr>
                <w:rFonts w:ascii="Times New Roman" w:hAnsi="Times New Roman"/>
                <w:sz w:val="20"/>
                <w:szCs w:val="20"/>
              </w:rPr>
            </w:pPr>
            <w:r>
              <w:rPr>
                <w:rFonts w:ascii="Times New Roman" w:hAnsi="Times New Roman"/>
                <w:bCs/>
                <w:color w:val="FF0000"/>
                <w:sz w:val="20"/>
                <w:szCs w:val="20"/>
              </w:rPr>
              <w:t>&lt;Unchanged part omitted&gt;</w:t>
            </w:r>
          </w:p>
          <w:p>
            <w:pPr>
              <w:spacing w:after="60" w:line="240" w:lineRule="auto"/>
              <w:jc w:val="both"/>
              <w:rPr>
                <w:rFonts w:ascii="Times New Roman" w:hAnsi="Times New Roman"/>
                <w:sz w:val="20"/>
                <w:szCs w:val="20"/>
              </w:rPr>
            </w:pPr>
            <w:r>
              <w:rPr>
                <w:rFonts w:ascii="Times New Roman" w:hAnsi="Times New Roman"/>
                <w:sz w:val="20"/>
                <w:szCs w:val="20"/>
              </w:rPr>
              <w:t xml:space="preserve">If a valid CSI is not available, the UE shall transmit a CSI report which contains a CQI corresponding to the lowest CQI </w:t>
            </w:r>
            <w:r>
              <w:rPr>
                <w:rFonts w:ascii="Times New Roman" w:hAnsi="Times New Roman"/>
                <w:color w:val="000000" w:themeColor="text1"/>
                <w:sz w:val="20"/>
                <w:szCs w:val="20"/>
                <w14:textFill>
                  <w14:solidFill>
                    <w14:schemeClr w14:val="tx1"/>
                  </w14:solidFill>
                </w14:textFill>
              </w:rPr>
              <w:t>index.</w:t>
            </w:r>
            <w:r>
              <w:rPr>
                <w:rFonts w:hint="eastAsia" w:ascii="Times New Roman" w:hAnsi="Times New Roman"/>
                <w:color w:val="000000" w:themeColor="text1"/>
                <w:sz w:val="20"/>
                <w:szCs w:val="20"/>
                <w14:textFill>
                  <w14:solidFill>
                    <w14:schemeClr w14:val="tx1"/>
                  </w14:solidFill>
                </w14:textFill>
              </w:rPr>
              <w:t xml:space="preserve"> </w:t>
            </w:r>
            <w:r>
              <w:rPr>
                <w:rFonts w:hint="eastAsia" w:ascii="Times New Roman" w:hAnsi="Times New Roman"/>
                <w:color w:val="FF0000"/>
                <w:sz w:val="20"/>
                <w:szCs w:val="20"/>
              </w:rPr>
              <w:t>After the CSI report which contains a CQI corresponding to the lowest CQI index is transmitted, if a valid CSI is available, the UE shall transmit a CSI reporting which contains a CRI, a CQI, a PMI and a RI.</w:t>
            </w:r>
            <w:r>
              <w:rPr>
                <w:rFonts w:ascii="Times New Roman" w:hAnsi="Times New Roman"/>
                <w:color w:val="000000" w:themeColor="text1"/>
                <w:sz w:val="20"/>
                <w:szCs w:val="20"/>
                <w14:textFill>
                  <w14:solidFill>
                    <w14:schemeClr w14:val="tx1"/>
                  </w14:solidFill>
                </w14:textFill>
              </w:rPr>
              <w:t xml:space="preserve"> [Depending on the UE capability] the UE may start measuring corresponding NZP CSI-RS resources before receiving the LTM Cell Switch Command MAC CE [10, TS 38.321].</w:t>
            </w:r>
          </w:p>
          <w:p>
            <w:pPr>
              <w:numPr>
                <w:ilvl w:val="255"/>
                <w:numId w:val="0"/>
              </w:numPr>
              <w:spacing w:line="240" w:lineRule="auto"/>
              <w:jc w:val="center"/>
              <w:rPr>
                <w:bCs/>
                <w:color w:val="FF0000"/>
              </w:rPr>
            </w:pPr>
            <w:r>
              <w:rPr>
                <w:rFonts w:ascii="Times New Roman" w:hAnsi="Times New Roman"/>
                <w:bCs/>
                <w:color w:val="FF0000"/>
                <w:sz w:val="20"/>
                <w:szCs w:val="20"/>
              </w:rPr>
              <w:t>&lt;Unchanged part omitted&gt;</w:t>
            </w:r>
          </w:p>
        </w:tc>
      </w:tr>
    </w:tbl>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sz w:val="20"/>
          <w:szCs w:val="20"/>
          <w:lang w:val="en-GB"/>
        </w:rPr>
      </w:pPr>
      <w:bookmarkStart w:id="11" w:name="OLE_LINK11"/>
      <w:bookmarkStart w:id="12" w:name="OLE_LINK10"/>
      <w:r>
        <w:rPr>
          <w:rFonts w:ascii="Times New Roman" w:hAnsi="Times New Roman"/>
          <w:sz w:val="20"/>
          <w:szCs w:val="20"/>
          <w:lang w:val="en-GB"/>
        </w:rPr>
        <w:t xml:space="preserve">In this contribution, we </w:t>
      </w:r>
      <w:r>
        <w:rPr>
          <w:rFonts w:hint="eastAsia" w:ascii="Times New Roman" w:hAnsi="Times New Roman"/>
          <w:sz w:val="20"/>
          <w:szCs w:val="20"/>
        </w:rPr>
        <w:t>provide the following TPs on measurement related enhancements for Rel-19 LTM</w:t>
      </w:r>
      <w:r>
        <w:rPr>
          <w:rFonts w:ascii="Times New Roman" w:hAnsi="Times New Roman"/>
          <w:sz w:val="20"/>
          <w:szCs w:val="20"/>
          <w:lang w:val="en-GB"/>
        </w:rPr>
        <w:t>, as below:</w:t>
      </w:r>
    </w:p>
    <w:p>
      <w:pPr>
        <w:snapToGrid w:val="0"/>
        <w:spacing w:before="108" w:beforeLines="30" w:after="108" w:afterLines="30" w:line="288" w:lineRule="auto"/>
        <w:rPr>
          <w:rFonts w:ascii="Times New Roman" w:hAnsi="Times New Roman"/>
          <w:i/>
          <w:iCs/>
          <w:sz w:val="20"/>
          <w:szCs w:val="20"/>
        </w:rPr>
      </w:pPr>
      <w:r>
        <w:rPr>
          <w:rFonts w:ascii="Times New Roman" w:hAnsi="Times New Roman"/>
          <w:b/>
          <w:bCs/>
          <w:i/>
          <w:iCs/>
          <w:sz w:val="20"/>
          <w:szCs w:val="20"/>
        </w:rPr>
        <w:t xml:space="preserve">Text proposal 1: </w:t>
      </w:r>
      <w:r>
        <w:rPr>
          <w:rFonts w:ascii="Times New Roman" w:hAnsi="Times New Roman"/>
          <w:i/>
          <w:iCs/>
          <w:sz w:val="20"/>
          <w:szCs w:val="20"/>
        </w:rPr>
        <w:t xml:space="preserve">Adopt the following text change in </w:t>
      </w:r>
      <w:r>
        <w:rPr>
          <w:rFonts w:hint="eastAsia" w:ascii="Times New Roman" w:hAnsi="Times New Roman"/>
          <w:i/>
          <w:iCs/>
          <w:sz w:val="20"/>
          <w:szCs w:val="20"/>
        </w:rPr>
        <w:t>Clause</w:t>
      </w:r>
      <w:r>
        <w:rPr>
          <w:rFonts w:ascii="Times New Roman" w:hAnsi="Times New Roman"/>
          <w:i/>
          <w:iCs/>
          <w:sz w:val="20"/>
          <w:szCs w:val="20"/>
        </w:rPr>
        <w:t xml:space="preserve"> 5.2.4a of TS 38.214-j00.</w:t>
      </w:r>
    </w:p>
    <w:tbl>
      <w:tblPr>
        <w:tblStyle w:val="29"/>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0" w:type="dxa"/>
          </w:tcPr>
          <w:p>
            <w:pPr>
              <w:numPr>
                <w:ilvl w:val="255"/>
                <w:numId w:val="0"/>
              </w:numPr>
              <w:spacing w:before="120" w:after="60" w:line="240" w:lineRule="auto"/>
              <w:jc w:val="both"/>
              <w:rPr>
                <w:rFonts w:ascii="Times New Roman" w:hAnsi="Times New Roman"/>
                <w:b/>
                <w:bCs/>
                <w:sz w:val="21"/>
                <w:szCs w:val="21"/>
              </w:rPr>
            </w:pPr>
            <w:r>
              <w:rPr>
                <w:rFonts w:ascii="Times New Roman" w:hAnsi="Times New Roman"/>
                <w:b/>
                <w:bCs/>
                <w:sz w:val="21"/>
                <w:szCs w:val="21"/>
              </w:rPr>
              <w:t>5.2.4a CSI</w:t>
            </w:r>
            <w:r>
              <w:rPr>
                <w:rFonts w:ascii="Times New Roman" w:hAnsi="Times New Roman"/>
                <w:b/>
                <w:bCs/>
                <w:sz w:val="21"/>
                <w:szCs w:val="21"/>
              </w:rPr>
              <w:tab/>
            </w:r>
            <w:r>
              <w:rPr>
                <w:rFonts w:ascii="Times New Roman" w:hAnsi="Times New Roman"/>
                <w:b/>
                <w:bCs/>
                <w:sz w:val="21"/>
                <w:szCs w:val="21"/>
              </w:rPr>
              <w:t>Reporting for LTM</w:t>
            </w:r>
          </w:p>
          <w:p>
            <w:pPr>
              <w:numPr>
                <w:ilvl w:val="255"/>
                <w:numId w:val="0"/>
              </w:numPr>
              <w:spacing w:after="80" w:line="240" w:lineRule="auto"/>
              <w:jc w:val="center"/>
              <w:rPr>
                <w:rFonts w:ascii="Times New Roman" w:hAnsi="Times New Roman"/>
                <w:sz w:val="20"/>
                <w:szCs w:val="20"/>
              </w:rPr>
            </w:pPr>
            <w:r>
              <w:rPr>
                <w:rFonts w:ascii="Times New Roman" w:hAnsi="Times New Roman"/>
                <w:bCs/>
                <w:color w:val="FF0000"/>
                <w:sz w:val="20"/>
                <w:szCs w:val="20"/>
              </w:rPr>
              <w:t>&lt;Unchanged part omitted&gt;</w:t>
            </w:r>
          </w:p>
          <w:p>
            <w:pPr>
              <w:numPr>
                <w:ilvl w:val="255"/>
                <w:numId w:val="0"/>
              </w:numPr>
              <w:spacing w:after="60" w:line="240" w:lineRule="auto"/>
              <w:jc w:val="both"/>
              <w:rPr>
                <w:rFonts w:ascii="Times New Roman" w:hAnsi="Times New Roman" w:eastAsia="宋体"/>
                <w:sz w:val="20"/>
                <w:szCs w:val="20"/>
              </w:rPr>
            </w:pPr>
            <w:r>
              <w:rPr>
                <w:rFonts w:ascii="Times New Roman" w:hAnsi="Times New Roman" w:eastAsia="宋体"/>
                <w:sz w:val="20"/>
                <w:szCs w:val="20"/>
              </w:rPr>
              <w:t>After a UE receives an LTM Cell Switch Command MAC CE [10, TS 38.321] providing a candidate cell (given by Target Configuration ID field), and a [</w:t>
            </w:r>
            <w:r>
              <w:rPr>
                <w:rFonts w:ascii="Times New Roman" w:hAnsi="Times New Roman" w:eastAsia="宋体"/>
                <w:i/>
                <w:iCs/>
                <w:sz w:val="20"/>
                <w:szCs w:val="20"/>
              </w:rPr>
              <w:t>ltm-eCSI-ReportConfig</w:t>
            </w:r>
            <w:r>
              <w:rPr>
                <w:rFonts w:ascii="Times New Roman" w:hAnsi="Times New Roman" w:eastAsia="宋体"/>
                <w:sz w:val="20"/>
                <w:szCs w:val="20"/>
              </w:rPr>
              <w:t xml:space="preserve">] is configured for the candidate cell, the UE can measure </w:t>
            </w:r>
            <w:r>
              <w:rPr>
                <w:rFonts w:ascii="Times New Roman" w:hAnsi="Times New Roman" w:eastAsia="宋体"/>
                <w:strike w:val="0"/>
                <w:color w:val="auto"/>
                <w:sz w:val="20"/>
                <w:szCs w:val="20"/>
              </w:rPr>
              <w:t xml:space="preserve">corresponding NZP </w:t>
            </w:r>
            <w:r>
              <w:rPr>
                <w:rFonts w:ascii="Times New Roman" w:hAnsi="Times New Roman" w:eastAsia="宋体"/>
                <w:sz w:val="20"/>
                <w:szCs w:val="20"/>
              </w:rPr>
              <w:t>CSI-RS resources</w:t>
            </w:r>
            <w:r>
              <w:rPr>
                <w:rFonts w:hint="eastAsia" w:ascii="Times New Roman" w:hAnsi="Times New Roman" w:eastAsia="宋体"/>
                <w:sz w:val="20"/>
                <w:szCs w:val="20"/>
              </w:rPr>
              <w:t xml:space="preserve"> </w:t>
            </w:r>
            <w:r>
              <w:rPr>
                <w:rFonts w:hint="eastAsia" w:ascii="Times New Roman" w:hAnsi="Times New Roman"/>
                <w:color w:val="FF0000"/>
                <w:sz w:val="20"/>
                <w:szCs w:val="20"/>
              </w:rPr>
              <w:t xml:space="preserve">with higher layer parameter </w:t>
            </w:r>
            <w:r>
              <w:rPr>
                <w:rFonts w:hint="eastAsia" w:ascii="Times New Roman" w:hAnsi="Times New Roman"/>
                <w:i/>
                <w:iCs/>
                <w:color w:val="FF0000"/>
                <w:sz w:val="20"/>
                <w:szCs w:val="20"/>
              </w:rPr>
              <w:t>resourceType</w:t>
            </w:r>
            <w:r>
              <w:rPr>
                <w:rFonts w:hint="eastAsia" w:ascii="Times New Roman" w:hAnsi="Times New Roman"/>
                <w:color w:val="FF0000"/>
                <w:sz w:val="20"/>
                <w:szCs w:val="20"/>
              </w:rPr>
              <w:t xml:space="preserve"> set to 'periodic' </w:t>
            </w:r>
            <w:r>
              <w:rPr>
                <w:rFonts w:ascii="Times New Roman" w:hAnsi="Times New Roman" w:eastAsia="宋体"/>
                <w:color w:val="FF0000"/>
                <w:sz w:val="20"/>
                <w:szCs w:val="20"/>
              </w:rPr>
              <w:t xml:space="preserve">and/or CSI-IM resources, </w:t>
            </w:r>
            <w:r>
              <w:rPr>
                <w:rFonts w:hint="eastAsia" w:ascii="Times New Roman" w:hAnsi="Times New Roman"/>
                <w:color w:val="FF0000"/>
                <w:sz w:val="20"/>
                <w:szCs w:val="20"/>
              </w:rPr>
              <w:t>starting from the first slot that is after slot</w:t>
            </w:r>
            <m:oMath>
              <m:r>
                <m:rPr>
                  <m:sty m:val="p"/>
                </m:rPr>
                <w:rPr>
                  <w:rFonts w:ascii="Cambria Math" w:hAnsi="Cambria Math"/>
                  <w:color w:val="FF0000"/>
                  <w:sz w:val="20"/>
                  <w:szCs w:val="20"/>
                </w:rPr>
                <m:t xml:space="preserve"> n+</m:t>
              </m:r>
              <m:sSubSup>
                <m:sSubSupPr>
                  <m:ctrlPr>
                    <w:rPr>
                      <w:rFonts w:ascii="Cambria Math" w:hAnsi="Cambria Math"/>
                      <w:color w:val="FF0000"/>
                      <w:sz w:val="20"/>
                      <w:szCs w:val="20"/>
                    </w:rPr>
                  </m:ctrlPr>
                </m:sSubSupPr>
                <m:e>
                  <m:r>
                    <m:rPr>
                      <m:sty m:val="p"/>
                    </m:rPr>
                    <w:rPr>
                      <w:rFonts w:ascii="Cambria Math" w:hAnsi="Cambria Math"/>
                      <w:color w:val="FF0000"/>
                      <w:sz w:val="20"/>
                      <w:szCs w:val="20"/>
                    </w:rPr>
                    <m:t>3N</m:t>
                  </m:r>
                  <m:ctrlPr>
                    <w:rPr>
                      <w:rFonts w:ascii="Cambria Math" w:hAnsi="Cambria Math"/>
                      <w:color w:val="FF0000"/>
                      <w:sz w:val="20"/>
                      <w:szCs w:val="20"/>
                    </w:rPr>
                  </m:ctrlPr>
                </m:e>
                <m:sub>
                  <m:r>
                    <m:rPr>
                      <m:sty m:val="p"/>
                    </m:rPr>
                    <w:rPr>
                      <w:rFonts w:ascii="Cambria Math" w:hAnsi="Cambria Math"/>
                      <w:color w:val="FF0000"/>
                      <w:sz w:val="20"/>
                      <w:szCs w:val="20"/>
                    </w:rPr>
                    <m:t>slot</m:t>
                  </m:r>
                  <m:ctrlPr>
                    <w:rPr>
                      <w:rFonts w:ascii="Cambria Math" w:hAnsi="Cambria Math"/>
                      <w:color w:val="FF0000"/>
                      <w:sz w:val="20"/>
                      <w:szCs w:val="20"/>
                    </w:rPr>
                  </m:ctrlPr>
                </m:sub>
                <m:sup>
                  <m:r>
                    <m:rPr>
                      <m:sty m:val="p"/>
                    </m:rPr>
                    <w:rPr>
                      <w:rFonts w:ascii="Cambria Math" w:hAnsi="Cambria Math"/>
                      <w:color w:val="FF0000"/>
                      <w:sz w:val="20"/>
                      <w:szCs w:val="20"/>
                    </w:rPr>
                    <m:t>subframe,µ</m:t>
                  </m:r>
                  <m:ctrlPr>
                    <w:rPr>
                      <w:rFonts w:ascii="Cambria Math" w:hAnsi="Cambria Math"/>
                      <w:color w:val="FF0000"/>
                      <w:sz w:val="20"/>
                      <w:szCs w:val="20"/>
                    </w:rPr>
                  </m:ctrlPr>
                </m:sup>
              </m:sSubSup>
            </m:oMath>
            <w:r>
              <w:rPr>
                <w:rFonts w:ascii="Times New Roman" w:hAnsi="Times New Roman"/>
                <w:color w:val="FF0000"/>
                <w:sz w:val="20"/>
                <w:szCs w:val="20"/>
              </w:rPr>
              <w:t>, where the UE would transmit a PUCCH</w:t>
            </w:r>
            <w:r>
              <w:rPr>
                <w:rFonts w:hint="eastAsia" w:ascii="Times New Roman" w:hAnsi="Times New Roman"/>
                <w:color w:val="FF0000"/>
                <w:sz w:val="20"/>
                <w:szCs w:val="20"/>
                <w:lang w:val="en-US" w:eastAsia="zh-CN"/>
              </w:rPr>
              <w:t xml:space="preserve"> or PUSCH</w:t>
            </w:r>
            <w:r>
              <w:rPr>
                <w:rFonts w:ascii="Times New Roman" w:hAnsi="Times New Roman"/>
                <w:color w:val="FF0000"/>
                <w:sz w:val="20"/>
                <w:szCs w:val="20"/>
              </w:rPr>
              <w:t xml:space="preserve"> with HARQ-ACK information in slot n corresponding to the </w:t>
            </w:r>
            <w:r>
              <w:rPr>
                <w:rFonts w:hint="eastAsia" w:ascii="Times New Roman" w:hAnsi="Times New Roman"/>
                <w:color w:val="FF0000"/>
                <w:sz w:val="20"/>
                <w:szCs w:val="20"/>
              </w:rPr>
              <w:t>PDSCH carrying the LTM Cell Switch Command MAC CE</w:t>
            </w:r>
            <w:r>
              <w:rPr>
                <w:rFonts w:ascii="Times New Roman" w:hAnsi="Times New Roman"/>
                <w:color w:val="FF0000"/>
                <w:sz w:val="20"/>
                <w:szCs w:val="20"/>
              </w:rPr>
              <w:t xml:space="preserve"> and</w:t>
            </w:r>
            <w:r>
              <w:rPr>
                <w:rFonts w:hint="eastAsia" w:ascii="Times New Roman" w:hAnsi="Times New Roman"/>
                <w:color w:val="FF0000"/>
                <w:sz w:val="20"/>
                <w:szCs w:val="20"/>
              </w:rPr>
              <w:t xml:space="preserve"> </w:t>
            </w:r>
            <w:r>
              <w:rPr>
                <w:rFonts w:ascii="Symbol" w:hAnsi="Symbol"/>
                <w:i/>
                <w:color w:val="FF0000"/>
              </w:rPr>
              <w:t></w:t>
            </w:r>
            <w:r>
              <w:rPr>
                <w:rFonts w:ascii="Times New Roman" w:hAnsi="Times New Roman"/>
                <w:color w:val="FF0000"/>
                <w:sz w:val="20"/>
                <w:szCs w:val="20"/>
              </w:rPr>
              <w:t xml:space="preserve"> is the SCS configuration for the PUCCH or PUSCH</w:t>
            </w:r>
            <w:r>
              <w:rPr>
                <w:rFonts w:hint="eastAsia" w:ascii="Times New Roman" w:hAnsi="Times New Roman"/>
                <w:color w:val="FF0000"/>
                <w:sz w:val="20"/>
                <w:szCs w:val="20"/>
              </w:rPr>
              <w:t xml:space="preserve">, </w:t>
            </w:r>
            <w:r>
              <w:rPr>
                <w:rFonts w:ascii="Times New Roman" w:hAnsi="Times New Roman" w:eastAsia="宋体"/>
                <w:sz w:val="20"/>
                <w:szCs w:val="20"/>
              </w:rPr>
              <w:t>and shall transmit a CSI report to the candidate cell.</w:t>
            </w:r>
          </w:p>
          <w:p>
            <w:pPr>
              <w:numPr>
                <w:ilvl w:val="255"/>
                <w:numId w:val="0"/>
              </w:numPr>
              <w:spacing w:line="240" w:lineRule="auto"/>
              <w:jc w:val="center"/>
              <w:rPr>
                <w:bCs/>
                <w:color w:val="FF0000"/>
              </w:rPr>
            </w:pPr>
            <w:r>
              <w:rPr>
                <w:rFonts w:ascii="Times New Roman" w:hAnsi="Times New Roman"/>
                <w:bCs/>
                <w:color w:val="FF0000"/>
                <w:sz w:val="20"/>
                <w:szCs w:val="20"/>
              </w:rPr>
              <w:t>&lt;Unchanged part omitted&gt;</w:t>
            </w:r>
          </w:p>
        </w:tc>
      </w:tr>
    </w:tbl>
    <w:p>
      <w:pPr>
        <w:snapToGrid w:val="0"/>
        <w:spacing w:before="108" w:beforeLines="30" w:after="108" w:afterLines="30" w:line="288" w:lineRule="auto"/>
        <w:rPr>
          <w:rFonts w:ascii="Times New Roman" w:hAnsi="Times New Roman"/>
          <w:i/>
          <w:iCs/>
          <w:sz w:val="20"/>
          <w:szCs w:val="20"/>
        </w:rPr>
      </w:pPr>
      <w:r>
        <w:rPr>
          <w:rFonts w:ascii="Times New Roman" w:hAnsi="Times New Roman"/>
          <w:b/>
          <w:bCs/>
          <w:i/>
          <w:iCs/>
          <w:sz w:val="20"/>
          <w:szCs w:val="20"/>
        </w:rPr>
        <w:t xml:space="preserve">Text proposal </w:t>
      </w:r>
      <w:r>
        <w:rPr>
          <w:rFonts w:hint="eastAsia" w:ascii="Times New Roman" w:hAnsi="Times New Roman"/>
          <w:b/>
          <w:bCs/>
          <w:i/>
          <w:iCs/>
          <w:sz w:val="20"/>
          <w:szCs w:val="20"/>
        </w:rPr>
        <w:t>2</w:t>
      </w:r>
      <w:r>
        <w:rPr>
          <w:rFonts w:ascii="Times New Roman" w:hAnsi="Times New Roman"/>
          <w:b/>
          <w:bCs/>
          <w:i/>
          <w:iCs/>
          <w:sz w:val="20"/>
          <w:szCs w:val="20"/>
        </w:rPr>
        <w:t xml:space="preserve">: </w:t>
      </w:r>
      <w:r>
        <w:rPr>
          <w:rFonts w:ascii="Times New Roman" w:hAnsi="Times New Roman"/>
          <w:i/>
          <w:iCs/>
          <w:sz w:val="20"/>
          <w:szCs w:val="20"/>
        </w:rPr>
        <w:t xml:space="preserve">Adopt the following text change in </w:t>
      </w:r>
      <w:r>
        <w:rPr>
          <w:rFonts w:hint="eastAsia" w:ascii="Times New Roman" w:hAnsi="Times New Roman"/>
          <w:i/>
          <w:iCs/>
          <w:sz w:val="20"/>
          <w:szCs w:val="20"/>
        </w:rPr>
        <w:t>Clause</w:t>
      </w:r>
      <w:r>
        <w:rPr>
          <w:rFonts w:ascii="Times New Roman" w:hAnsi="Times New Roman"/>
          <w:i/>
          <w:iCs/>
          <w:sz w:val="20"/>
          <w:szCs w:val="20"/>
        </w:rPr>
        <w:t xml:space="preserve"> </w:t>
      </w:r>
      <w:r>
        <w:rPr>
          <w:rFonts w:hint="eastAsia" w:ascii="Times New Roman" w:hAnsi="Times New Roman"/>
          <w:i/>
          <w:iCs/>
          <w:sz w:val="20"/>
          <w:szCs w:val="20"/>
        </w:rPr>
        <w:t>21</w:t>
      </w:r>
      <w:r>
        <w:rPr>
          <w:rFonts w:ascii="Times New Roman" w:hAnsi="Times New Roman"/>
          <w:i/>
          <w:iCs/>
          <w:sz w:val="20"/>
          <w:szCs w:val="20"/>
        </w:rPr>
        <w:t xml:space="preserve"> of TS 38.21</w:t>
      </w:r>
      <w:r>
        <w:rPr>
          <w:rFonts w:hint="eastAsia" w:ascii="Times New Roman" w:hAnsi="Times New Roman"/>
          <w:i/>
          <w:iCs/>
          <w:sz w:val="20"/>
          <w:szCs w:val="20"/>
        </w:rPr>
        <w:t>3</w:t>
      </w:r>
      <w:r>
        <w:rPr>
          <w:rFonts w:ascii="Times New Roman" w:hAnsi="Times New Roman"/>
          <w:i/>
          <w:iCs/>
          <w:sz w:val="20"/>
          <w:szCs w:val="20"/>
        </w:rPr>
        <w:t>-j00.</w:t>
      </w:r>
    </w:p>
    <w:tbl>
      <w:tblPr>
        <w:tblStyle w:val="28"/>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0" w:type="dxa"/>
          </w:tcPr>
          <w:p>
            <w:pPr>
              <w:numPr>
                <w:ilvl w:val="255"/>
                <w:numId w:val="0"/>
              </w:numPr>
              <w:spacing w:before="120" w:after="60" w:line="240" w:lineRule="auto"/>
              <w:jc w:val="both"/>
              <w:rPr>
                <w:rFonts w:ascii="Times New Roman" w:hAnsi="Times New Roman"/>
                <w:b/>
                <w:bCs/>
                <w:sz w:val="21"/>
                <w:szCs w:val="21"/>
              </w:rPr>
            </w:pPr>
            <w:r>
              <w:rPr>
                <w:rFonts w:ascii="Times New Roman" w:hAnsi="Times New Roman"/>
                <w:b/>
                <w:bCs/>
                <w:sz w:val="21"/>
                <w:szCs w:val="21"/>
              </w:rPr>
              <w:t>21</w:t>
            </w:r>
            <w:r>
              <w:rPr>
                <w:rFonts w:ascii="Times New Roman" w:hAnsi="Times New Roman"/>
                <w:b/>
                <w:bCs/>
                <w:sz w:val="21"/>
                <w:szCs w:val="21"/>
              </w:rPr>
              <w:tab/>
            </w:r>
            <w:r>
              <w:rPr>
                <w:rFonts w:ascii="Times New Roman" w:hAnsi="Times New Roman"/>
                <w:b/>
                <w:bCs/>
                <w:sz w:val="21"/>
                <w:szCs w:val="21"/>
              </w:rPr>
              <w:t>L1/L2-triggered mobility procedures</w:t>
            </w:r>
          </w:p>
          <w:p>
            <w:pPr>
              <w:spacing w:after="60" w:line="240" w:lineRule="auto"/>
              <w:jc w:val="both"/>
              <w:rPr>
                <w:rFonts w:ascii="Times New Roman" w:hAnsi="Times New Roman"/>
                <w:sz w:val="20"/>
                <w:szCs w:val="20"/>
              </w:rPr>
            </w:pPr>
            <w:r>
              <w:rPr>
                <w:rFonts w:ascii="Times New Roman" w:hAnsi="Times New Roman" w:eastAsia="Malgun Gothic"/>
                <w:sz w:val="20"/>
                <w:szCs w:val="20"/>
              </w:rPr>
              <w:t xml:space="preserve">A UE can be indicated, by </w:t>
            </w:r>
            <w:r>
              <w:rPr>
                <w:rFonts w:ascii="Times New Roman" w:hAnsi="Times New Roman"/>
                <w:i/>
                <w:iCs/>
                <w:sz w:val="20"/>
                <w:szCs w:val="20"/>
              </w:rPr>
              <w:t>LTM-Config</w:t>
            </w:r>
            <w:r>
              <w:rPr>
                <w:rFonts w:ascii="Times New Roman" w:hAnsi="Times New Roman" w:eastAsia="Malgun Gothic"/>
                <w:sz w:val="20"/>
                <w:szCs w:val="20"/>
              </w:rPr>
              <w:t xml:space="preserve">, candidate cells and </w:t>
            </w:r>
            <w:r>
              <w:rPr>
                <w:rFonts w:ascii="Times New Roman" w:hAnsi="Times New Roman"/>
                <w:sz w:val="20"/>
                <w:szCs w:val="20"/>
              </w:rPr>
              <w:t xml:space="preserve">SS/PBCH blocks or CSI-RS resources per candidate cell for the UE to </w:t>
            </w:r>
            <w:r>
              <w:rPr>
                <w:rFonts w:ascii="Times New Roman" w:hAnsi="Times New Roman" w:eastAsia="Malgun Gothic"/>
                <w:sz w:val="20"/>
                <w:szCs w:val="20"/>
              </w:rPr>
              <w:t xml:space="preserve">obtain synchronization and/or measure corresponding L1-RSRPs </w:t>
            </w:r>
            <w:r>
              <w:rPr>
                <w:rFonts w:ascii="Times New Roman" w:hAnsi="Times New Roman"/>
                <w:sz w:val="20"/>
                <w:szCs w:val="20"/>
                <w:lang w:eastAsia="ja-JP"/>
              </w:rPr>
              <w:t>[10, TS 38.133]</w:t>
            </w:r>
            <w:r>
              <w:rPr>
                <w:rFonts w:ascii="Times New Roman" w:hAnsi="Times New Roman"/>
                <w:sz w:val="20"/>
                <w:szCs w:val="20"/>
              </w:rPr>
              <w:t xml:space="preserve">. A Candidate Cell TCI States Activation/Deactivation MAC CE can activate TCI states, provided by </w:t>
            </w:r>
            <w:r>
              <w:rPr>
                <w:rFonts w:ascii="Times New Roman" w:hAnsi="Times New Roman"/>
                <w:i/>
                <w:iCs/>
                <w:sz w:val="20"/>
                <w:szCs w:val="20"/>
              </w:rPr>
              <w:t>CandidateTCI-State</w:t>
            </w:r>
            <w:r>
              <w:rPr>
                <w:rFonts w:ascii="Times New Roman" w:hAnsi="Times New Roman"/>
                <w:sz w:val="20"/>
                <w:szCs w:val="20"/>
              </w:rPr>
              <w:t xml:space="preserve"> or/and </w:t>
            </w:r>
            <w:r>
              <w:rPr>
                <w:rFonts w:ascii="Times New Roman" w:hAnsi="Times New Roman"/>
                <w:i/>
                <w:iCs/>
                <w:sz w:val="20"/>
                <w:szCs w:val="20"/>
              </w:rPr>
              <w:t>CandidateTCI-UL-State</w:t>
            </w:r>
            <w:r>
              <w:rPr>
                <w:rFonts w:ascii="Times New Roman" w:hAnsi="Times New Roman"/>
                <w:sz w:val="20"/>
                <w:szCs w:val="20"/>
              </w:rPr>
              <w:t xml:space="preserve">, associated with SS/PBCH blocks, or CSI-RS resources in a CSI-RS resource set configured with </w:t>
            </w:r>
            <w:r>
              <w:rPr>
                <w:rFonts w:ascii="Times New Roman" w:hAnsi="Times New Roman"/>
                <w:i/>
                <w:sz w:val="20"/>
                <w:szCs w:val="20"/>
              </w:rPr>
              <w:t>repetition</w:t>
            </w:r>
            <w:r>
              <w:rPr>
                <w:rFonts w:ascii="Times New Roman" w:hAnsi="Times New Roman"/>
                <w:sz w:val="20"/>
                <w:szCs w:val="20"/>
              </w:rPr>
              <w:t>, or TRS of corresponding candidate cells [11, TS 38.321]. The RS index</w:t>
            </w:r>
            <w:r>
              <w:rPr>
                <w:rFonts w:ascii="Times New Roman" w:hAnsi="Times New Roman"/>
                <w:iCs/>
                <w:sz w:val="20"/>
                <w:szCs w:val="20"/>
              </w:rPr>
              <w:t xml:space="preserve"> for obtaining the candidate cell downlink pathloss estimate is provided by </w:t>
            </w:r>
            <w:r>
              <w:rPr>
                <w:rStyle w:val="34"/>
                <w:rFonts w:ascii="Times New Roman" w:hAnsi="Times New Roman"/>
                <w:sz w:val="20"/>
                <w:szCs w:val="20"/>
              </w:rPr>
              <w:t>pathlossReferenceRS-Id</w:t>
            </w:r>
            <w:r>
              <w:rPr>
                <w:rFonts w:ascii="Times New Roman" w:hAnsi="Times New Roman"/>
                <w:iCs/>
                <w:sz w:val="20"/>
                <w:szCs w:val="20"/>
              </w:rPr>
              <w:t xml:space="preserve"> in the </w:t>
            </w:r>
            <w:r>
              <w:rPr>
                <w:rFonts w:ascii="Times New Roman" w:hAnsi="Times New Roman"/>
                <w:i/>
                <w:iCs/>
                <w:sz w:val="20"/>
                <w:szCs w:val="20"/>
              </w:rPr>
              <w:t>CandidateTCI-State</w:t>
            </w:r>
            <w:r>
              <w:rPr>
                <w:rFonts w:ascii="Times New Roman" w:hAnsi="Times New Roman"/>
                <w:sz w:val="20"/>
                <w:szCs w:val="20"/>
              </w:rPr>
              <w:t xml:space="preserve"> or</w:t>
            </w:r>
            <w:r>
              <w:rPr>
                <w:rFonts w:ascii="Times New Roman" w:hAnsi="Times New Roman"/>
                <w:i/>
                <w:iCs/>
                <w:sz w:val="20"/>
                <w:szCs w:val="20"/>
              </w:rPr>
              <w:t xml:space="preserve"> CandidateTCI-UL-State. </w:t>
            </w:r>
            <w:r>
              <w:rPr>
                <w:rFonts w:ascii="Times New Roman" w:hAnsi="Times New Roman"/>
                <w:sz w:val="20"/>
                <w:szCs w:val="20"/>
              </w:rPr>
              <w:t xml:space="preserve">If the Candidate Cell TCI States Activation/Deactivation MAC CE activates TCI states, an LTM Cell Switch Command MAC CE can indicate a TCI state from the activated TCI states; otherwise, the LTM Cell Switch Command MAC CE can activate and indicate a TCI state, provided by </w:t>
            </w:r>
            <w:r>
              <w:rPr>
                <w:rFonts w:ascii="Times New Roman" w:hAnsi="Times New Roman"/>
                <w:i/>
                <w:iCs/>
                <w:sz w:val="20"/>
                <w:szCs w:val="20"/>
              </w:rPr>
              <w:t>CandidateTCI-State</w:t>
            </w:r>
            <w:r>
              <w:rPr>
                <w:rFonts w:ascii="Times New Roman" w:hAnsi="Times New Roman"/>
                <w:sz w:val="20"/>
                <w:szCs w:val="20"/>
              </w:rPr>
              <w:t xml:space="preserve"> or/and </w:t>
            </w:r>
            <w:r>
              <w:rPr>
                <w:rFonts w:ascii="Times New Roman" w:hAnsi="Times New Roman"/>
                <w:i/>
                <w:iCs/>
                <w:sz w:val="20"/>
                <w:szCs w:val="20"/>
              </w:rPr>
              <w:t>CandidateTCI-UL-State</w:t>
            </w:r>
            <w:r>
              <w:rPr>
                <w:rFonts w:ascii="Times New Roman" w:hAnsi="Times New Roman"/>
                <w:sz w:val="20"/>
                <w:szCs w:val="20"/>
              </w:rPr>
              <w:t xml:space="preserve">. After reception of the LTM Cell Switch Command MAC CE, activated TCI states that are not indicated by the MAC CE are deactivated. The UE is provided configurations by </w:t>
            </w:r>
            <w:r>
              <w:rPr>
                <w:rFonts w:ascii="Times New Roman" w:hAnsi="Times New Roman"/>
                <w:i/>
                <w:iCs/>
                <w:sz w:val="20"/>
                <w:szCs w:val="20"/>
              </w:rPr>
              <w:t>ltm-CSI-ReportConfigToAddModList</w:t>
            </w:r>
            <w:r>
              <w:rPr>
                <w:rFonts w:ascii="Times New Roman" w:hAnsi="Times New Roman"/>
                <w:sz w:val="20"/>
                <w:szCs w:val="20"/>
              </w:rPr>
              <w:t xml:space="preserve"> for reporting L1-RSRP measurements [6, TS 38.214] that include a number of candidate cells and a number of SS/PBCH blocks or CSI-RS resources per candidate cell from the number of candidate cells. </w:t>
            </w:r>
          </w:p>
          <w:p>
            <w:pPr>
              <w:numPr>
                <w:ilvl w:val="255"/>
                <w:numId w:val="0"/>
              </w:numPr>
              <w:spacing w:after="60" w:line="240" w:lineRule="auto"/>
              <w:ind w:left="0" w:firstLine="0"/>
              <w:jc w:val="both"/>
              <w:rPr>
                <w:rFonts w:ascii="Times New Roman" w:hAnsi="Times New Roman"/>
                <w:color w:val="FF0000"/>
                <w:sz w:val="20"/>
                <w:szCs w:val="20"/>
              </w:rPr>
            </w:pPr>
            <w:r>
              <w:rPr>
                <w:rFonts w:ascii="Times New Roman" w:hAnsi="Times New Roman"/>
                <w:color w:val="FF0000"/>
                <w:sz w:val="20"/>
                <w:szCs w:val="20"/>
              </w:rPr>
              <w:t>If SP CSI-RS and/or CSI-IM resources for candidate cells are activated by [SP CSI-RS/CSI-IM Resource Set Activation/Deactivation for Candidate Cell MAC CE] before LTM Cell Switch Command MAC CE, the SP CSI-RS and/or CSI-IM resources for candidate cells other than a candidate cell (given by Target Configuration ID field in LTM Cell Switch Command MAC CE) are deactivated after receiving LTM Cell Switch Command MAC CE.</w:t>
            </w:r>
          </w:p>
          <w:p>
            <w:pPr>
              <w:numPr>
                <w:ilvl w:val="255"/>
                <w:numId w:val="0"/>
              </w:numPr>
              <w:spacing w:after="0" w:line="240" w:lineRule="auto"/>
              <w:jc w:val="both"/>
              <w:rPr>
                <w:rFonts w:ascii="Times New Roman" w:hAnsi="Times New Roman"/>
                <w:bCs/>
                <w:color w:val="FF0000"/>
                <w:szCs w:val="20"/>
              </w:rPr>
            </w:pPr>
            <w:r>
              <w:rPr>
                <w:rFonts w:ascii="Times New Roman" w:hAnsi="Times New Roman"/>
                <w:color w:val="FF0000"/>
                <w:sz w:val="20"/>
                <w:szCs w:val="20"/>
              </w:rPr>
              <w:t xml:space="preserve">If SP CSI-RS and/or CSI-IM resources for a candidate cell (given by Target Configuration ID field in LTM Cell Switch Command MAC CE) are activated by [SP CSI-RS/CSI-IM Resource Set Activation/Deactivation for Candidate Cell MAC CE], </w:t>
            </w:r>
            <w:r>
              <w:rPr>
                <w:rFonts w:hint="eastAsia" w:ascii="Times New Roman" w:hAnsi="Times New Roman"/>
                <w:color w:val="FF0000"/>
                <w:sz w:val="20"/>
                <w:szCs w:val="20"/>
                <w:lang w:val="en-US" w:eastAsia="zh-CN"/>
              </w:rPr>
              <w:t>or for the case where</w:t>
            </w:r>
            <w:r>
              <w:rPr>
                <w:rFonts w:ascii="Times New Roman" w:hAnsi="Times New Roman"/>
                <w:color w:val="FF0000"/>
                <w:sz w:val="20"/>
                <w:szCs w:val="20"/>
              </w:rPr>
              <w:t xml:space="preserve"> SP CSI-RS and/or CSI-IM resources for </w:t>
            </w:r>
            <w:r>
              <w:rPr>
                <w:rFonts w:hint="eastAsia" w:ascii="Times New Roman" w:hAnsi="Times New Roman"/>
                <w:color w:val="FF0000"/>
                <w:sz w:val="20"/>
                <w:szCs w:val="20"/>
              </w:rPr>
              <w:t>the</w:t>
            </w:r>
            <w:r>
              <w:rPr>
                <w:rFonts w:ascii="Times New Roman" w:hAnsi="Times New Roman"/>
                <w:color w:val="FF0000"/>
                <w:sz w:val="20"/>
                <w:szCs w:val="20"/>
              </w:rPr>
              <w:t xml:space="preserve"> candidate cell remain to be activated after receiving the LTM Cell Switch Command MAC CE, the SP CSI-RS and/or CSI-IM resources for the candidate cell can be deactivated after receiving SP CSI-RS/CSI-IM Resource Set Activation/Deactivation MAC CE.</w:t>
            </w:r>
          </w:p>
          <w:p>
            <w:pPr>
              <w:numPr>
                <w:ilvl w:val="255"/>
                <w:numId w:val="0"/>
              </w:numPr>
              <w:spacing w:line="240" w:lineRule="auto"/>
              <w:jc w:val="center"/>
              <w:rPr>
                <w:bCs/>
                <w:color w:val="FF0000"/>
              </w:rPr>
            </w:pPr>
            <w:r>
              <w:rPr>
                <w:rFonts w:ascii="Times New Roman" w:hAnsi="Times New Roman"/>
                <w:bCs/>
                <w:color w:val="FF0000"/>
                <w:sz w:val="20"/>
                <w:szCs w:val="20"/>
              </w:rPr>
              <w:t>&lt;Unchanged part omitted&gt;</w:t>
            </w:r>
          </w:p>
        </w:tc>
      </w:tr>
    </w:tbl>
    <w:p>
      <w:pPr>
        <w:snapToGrid w:val="0"/>
        <w:spacing w:before="108" w:beforeLines="30" w:after="108" w:afterLines="30" w:line="288" w:lineRule="auto"/>
        <w:rPr>
          <w:rFonts w:ascii="Times New Roman" w:hAnsi="Times New Roman"/>
          <w:i/>
          <w:iCs/>
          <w:sz w:val="20"/>
          <w:szCs w:val="20"/>
        </w:rPr>
      </w:pPr>
      <w:r>
        <w:rPr>
          <w:rFonts w:ascii="Times New Roman" w:hAnsi="Times New Roman"/>
          <w:b/>
          <w:bCs/>
          <w:i/>
          <w:iCs/>
          <w:sz w:val="20"/>
          <w:szCs w:val="20"/>
        </w:rPr>
        <w:t xml:space="preserve">Text proposal </w:t>
      </w:r>
      <w:r>
        <w:rPr>
          <w:rFonts w:hint="eastAsia" w:ascii="Times New Roman" w:hAnsi="Times New Roman"/>
          <w:b/>
          <w:bCs/>
          <w:i/>
          <w:iCs/>
          <w:sz w:val="20"/>
          <w:szCs w:val="20"/>
        </w:rPr>
        <w:t>3</w:t>
      </w:r>
      <w:r>
        <w:rPr>
          <w:rFonts w:ascii="Times New Roman" w:hAnsi="Times New Roman"/>
          <w:b/>
          <w:bCs/>
          <w:i/>
          <w:iCs/>
          <w:sz w:val="20"/>
          <w:szCs w:val="20"/>
        </w:rPr>
        <w:t xml:space="preserve">: </w:t>
      </w:r>
      <w:r>
        <w:rPr>
          <w:rFonts w:ascii="Times New Roman" w:hAnsi="Times New Roman"/>
          <w:i/>
          <w:iCs/>
          <w:sz w:val="20"/>
          <w:szCs w:val="20"/>
        </w:rPr>
        <w:t xml:space="preserve">Adopt the following text change in </w:t>
      </w:r>
      <w:r>
        <w:rPr>
          <w:rFonts w:hint="eastAsia" w:ascii="Times New Roman" w:hAnsi="Times New Roman"/>
          <w:i/>
          <w:iCs/>
          <w:sz w:val="20"/>
          <w:szCs w:val="20"/>
        </w:rPr>
        <w:t>Clause</w:t>
      </w:r>
      <w:r>
        <w:rPr>
          <w:rFonts w:ascii="Times New Roman" w:hAnsi="Times New Roman"/>
          <w:i/>
          <w:iCs/>
          <w:sz w:val="20"/>
          <w:szCs w:val="20"/>
        </w:rPr>
        <w:t xml:space="preserve"> 5.2.4a of TS 38.214-j00.</w:t>
      </w:r>
    </w:p>
    <w:tbl>
      <w:tblPr>
        <w:tblStyle w:val="28"/>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0" w:type="dxa"/>
          </w:tcPr>
          <w:p>
            <w:pPr>
              <w:numPr>
                <w:ilvl w:val="255"/>
                <w:numId w:val="0"/>
              </w:numPr>
              <w:spacing w:before="120" w:after="60" w:line="240" w:lineRule="auto"/>
              <w:jc w:val="both"/>
              <w:rPr>
                <w:rFonts w:ascii="Times New Roman" w:hAnsi="Times New Roman"/>
                <w:b/>
                <w:bCs/>
                <w:sz w:val="21"/>
                <w:szCs w:val="21"/>
              </w:rPr>
            </w:pPr>
            <w:r>
              <w:rPr>
                <w:rFonts w:ascii="Times New Roman" w:hAnsi="Times New Roman"/>
                <w:b/>
                <w:bCs/>
                <w:sz w:val="21"/>
                <w:szCs w:val="21"/>
              </w:rPr>
              <w:t>5.2.4a CSI</w:t>
            </w:r>
            <w:r>
              <w:rPr>
                <w:rFonts w:ascii="Times New Roman" w:hAnsi="Times New Roman"/>
                <w:b/>
                <w:bCs/>
                <w:sz w:val="21"/>
                <w:szCs w:val="21"/>
              </w:rPr>
              <w:tab/>
            </w:r>
            <w:r>
              <w:rPr>
                <w:rFonts w:ascii="Times New Roman" w:hAnsi="Times New Roman"/>
                <w:b/>
                <w:bCs/>
                <w:sz w:val="21"/>
                <w:szCs w:val="21"/>
              </w:rPr>
              <w:t>Reporting for LTM</w:t>
            </w:r>
          </w:p>
          <w:p>
            <w:pPr>
              <w:numPr>
                <w:ilvl w:val="255"/>
                <w:numId w:val="0"/>
              </w:numPr>
              <w:spacing w:line="240" w:lineRule="auto"/>
              <w:jc w:val="center"/>
              <w:rPr>
                <w:rFonts w:ascii="Times New Roman" w:hAnsi="Times New Roman"/>
                <w:sz w:val="20"/>
                <w:szCs w:val="20"/>
              </w:rPr>
            </w:pPr>
            <w:r>
              <w:rPr>
                <w:rFonts w:ascii="Times New Roman" w:hAnsi="Times New Roman"/>
                <w:bCs/>
                <w:color w:val="FF0000"/>
                <w:sz w:val="20"/>
                <w:szCs w:val="20"/>
              </w:rPr>
              <w:t>&lt;Unchanged part omitted&gt;</w:t>
            </w:r>
          </w:p>
          <w:p>
            <w:pPr>
              <w:spacing w:after="60" w:line="240" w:lineRule="auto"/>
              <w:jc w:val="both"/>
              <w:rPr>
                <w:rFonts w:ascii="Times New Roman" w:hAnsi="Times New Roman"/>
                <w:sz w:val="20"/>
                <w:szCs w:val="20"/>
              </w:rPr>
            </w:pPr>
            <w:r>
              <w:rPr>
                <w:rFonts w:ascii="Times New Roman" w:hAnsi="Times New Roman"/>
                <w:sz w:val="20"/>
                <w:szCs w:val="20"/>
              </w:rPr>
              <w:t xml:space="preserve">If a valid CSI is not available, the UE shall transmit a CSI report which contains a CQI corresponding to the lowest CQI </w:t>
            </w:r>
            <w:r>
              <w:rPr>
                <w:rFonts w:ascii="Times New Roman" w:hAnsi="Times New Roman"/>
                <w:color w:val="000000" w:themeColor="text1"/>
                <w:sz w:val="20"/>
                <w:szCs w:val="20"/>
                <w14:textFill>
                  <w14:solidFill>
                    <w14:schemeClr w14:val="tx1"/>
                  </w14:solidFill>
                </w14:textFill>
              </w:rPr>
              <w:t>index.</w:t>
            </w:r>
            <w:r>
              <w:rPr>
                <w:rFonts w:hint="eastAsia" w:ascii="Times New Roman" w:hAnsi="Times New Roman"/>
                <w:color w:val="000000" w:themeColor="text1"/>
                <w:sz w:val="20"/>
                <w:szCs w:val="20"/>
                <w14:textFill>
                  <w14:solidFill>
                    <w14:schemeClr w14:val="tx1"/>
                  </w14:solidFill>
                </w14:textFill>
              </w:rPr>
              <w:t xml:space="preserve"> </w:t>
            </w:r>
            <w:r>
              <w:rPr>
                <w:rFonts w:hint="eastAsia" w:ascii="Times New Roman" w:hAnsi="Times New Roman"/>
                <w:color w:val="FF0000"/>
                <w:sz w:val="20"/>
                <w:szCs w:val="20"/>
              </w:rPr>
              <w:t>After the CSI report which contains a CQI corresponding to the lowest CQI index is transmitted, if a valid CSI is available, the UE shall transmit a CSI reporting which contains a CRI, a CQI, a PMI and a RI.</w:t>
            </w:r>
            <w:r>
              <w:rPr>
                <w:rFonts w:ascii="Times New Roman" w:hAnsi="Times New Roman"/>
                <w:color w:val="000000" w:themeColor="text1"/>
                <w:sz w:val="20"/>
                <w:szCs w:val="20"/>
                <w14:textFill>
                  <w14:solidFill>
                    <w14:schemeClr w14:val="tx1"/>
                  </w14:solidFill>
                </w14:textFill>
              </w:rPr>
              <w:t xml:space="preserve"> [Depending on the UE capability] the UE may start measuring corresponding NZP CSI-RS resources before receiving the LTM Cell Switch Command MAC CE [10, TS 38.321].</w:t>
            </w:r>
          </w:p>
          <w:p>
            <w:pPr>
              <w:numPr>
                <w:ilvl w:val="255"/>
                <w:numId w:val="0"/>
              </w:numPr>
              <w:spacing w:line="240" w:lineRule="auto"/>
              <w:jc w:val="center"/>
              <w:rPr>
                <w:bCs/>
                <w:color w:val="FF0000"/>
              </w:rPr>
            </w:pPr>
            <w:r>
              <w:rPr>
                <w:rFonts w:ascii="Times New Roman" w:hAnsi="Times New Roman"/>
                <w:bCs/>
                <w:color w:val="FF0000"/>
                <w:sz w:val="20"/>
                <w:szCs w:val="20"/>
              </w:rPr>
              <w:t>&lt;Unchanged part omitted&gt;</w:t>
            </w:r>
          </w:p>
        </w:tc>
      </w:tr>
    </w:tbl>
    <w:p>
      <w:pPr>
        <w:numPr>
          <w:ilvl w:val="255"/>
          <w:numId w:val="0"/>
        </w:numPr>
        <w:spacing w:after="0" w:line="240" w:lineRule="auto"/>
        <w:rPr>
          <w:rFonts w:ascii="Times New Roman" w:hAnsi="Times New Roman"/>
          <w:sz w:val="20"/>
          <w:szCs w:val="20"/>
          <w:lang w:val="en-GB"/>
        </w:rPr>
      </w:pPr>
    </w:p>
    <w:bookmarkEnd w:id="11"/>
    <w:bookmarkEnd w:id="12"/>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14"/>
        </w:numPr>
        <w:snapToGrid w:val="0"/>
        <w:rPr>
          <w:bCs/>
          <w:sz w:val="20"/>
          <w:szCs w:val="20"/>
        </w:rPr>
      </w:pPr>
      <w:r>
        <w:rPr>
          <w:rFonts w:hint="eastAsia"/>
          <w:bCs/>
          <w:sz w:val="20"/>
          <w:szCs w:val="20"/>
          <w:lang w:eastAsia="en-US"/>
        </w:rPr>
        <w:t>RP-250339</w:t>
      </w:r>
      <w:r>
        <w:rPr>
          <w:rFonts w:hint="eastAsia"/>
          <w:bCs/>
          <w:sz w:val="20"/>
          <w:szCs w:val="20"/>
        </w:rPr>
        <w:t>, Revised WI: NR mobility enhancements Phase 4, RAN #107 meeting,</w:t>
      </w:r>
      <w:r>
        <w:rPr>
          <w:bCs/>
          <w:sz w:val="20"/>
          <w:szCs w:val="20"/>
        </w:rPr>
        <w:t xml:space="preserve"> </w:t>
      </w:r>
      <w:r>
        <w:rPr>
          <w:rFonts w:hint="eastAsia"/>
          <w:bCs/>
          <w:sz w:val="20"/>
          <w:szCs w:val="20"/>
        </w:rPr>
        <w:t>Apple</w:t>
      </w:r>
      <w:r>
        <w:rPr>
          <w:rFonts w:hint="eastAsia"/>
        </w:rPr>
        <w:t>, China Telecom</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宋体"/>
    <w:panose1 w:val="00000000000000000000"/>
    <w:charset w:val="00"/>
    <w:family w:val="roman"/>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9FC96A4D"/>
    <w:multiLevelType w:val="singleLevel"/>
    <w:tmpl w:val="9FC96A4D"/>
    <w:lvl w:ilvl="0" w:tentative="0">
      <w:start w:val="1"/>
      <w:numFmt w:val="bullet"/>
      <w:lvlText w:val="•"/>
      <w:lvlJc w:val="left"/>
      <w:pPr>
        <w:ind w:left="420" w:hanging="420"/>
      </w:pPr>
      <w:rPr>
        <w:rFonts w:hint="default" w:ascii="Arial" w:hAnsi="Arial" w:cs="Arial"/>
      </w:rPr>
    </w:lvl>
  </w:abstractNum>
  <w:abstractNum w:abstractNumId="2">
    <w:nsid w:val="AE5799F7"/>
    <w:multiLevelType w:val="singleLevel"/>
    <w:tmpl w:val="AE5799F7"/>
    <w:lvl w:ilvl="0" w:tentative="0">
      <w:start w:val="1"/>
      <w:numFmt w:val="bullet"/>
      <w:lvlText w:val="•"/>
      <w:lvlJc w:val="left"/>
      <w:pPr>
        <w:ind w:left="420" w:hanging="420"/>
      </w:pPr>
      <w:rPr>
        <w:rFonts w:hint="default" w:ascii="Arial" w:hAnsi="Arial" w:cs="Arial"/>
      </w:rPr>
    </w:lvl>
  </w:abstractNum>
  <w:abstractNum w:abstractNumId="3">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F10A6F42"/>
    <w:multiLevelType w:val="singleLevel"/>
    <w:tmpl w:val="F10A6F42"/>
    <w:lvl w:ilvl="0" w:tentative="0">
      <w:start w:val="1"/>
      <w:numFmt w:val="bullet"/>
      <w:lvlText w:val="-"/>
      <w:lvlJc w:val="left"/>
      <w:pPr>
        <w:tabs>
          <w:tab w:val="left" w:pos="420"/>
        </w:tabs>
        <w:ind w:left="840" w:hanging="420"/>
      </w:pPr>
      <w:rPr>
        <w:rFonts w:hint="default" w:ascii="Arial" w:hAnsi="Arial" w:cs="Arial"/>
      </w:rPr>
    </w:lvl>
  </w:abstractNum>
  <w:abstractNum w:abstractNumId="5">
    <w:nsid w:val="F2532C95"/>
    <w:multiLevelType w:val="singleLevel"/>
    <w:tmpl w:val="F2532C95"/>
    <w:lvl w:ilvl="0" w:tentative="0">
      <w:start w:val="1"/>
      <w:numFmt w:val="bullet"/>
      <w:lvlText w:val="•"/>
      <w:lvlJc w:val="left"/>
      <w:pPr>
        <w:ind w:left="420" w:hanging="420"/>
      </w:pPr>
      <w:rPr>
        <w:rFonts w:hint="default" w:ascii="Arial" w:hAnsi="Arial" w:cs="Arial"/>
      </w:rPr>
    </w:lvl>
  </w:abstractNum>
  <w:abstractNum w:abstractNumId="6">
    <w:nsid w:val="04B3727D"/>
    <w:multiLevelType w:val="singleLevel"/>
    <w:tmpl w:val="04B3727D"/>
    <w:lvl w:ilvl="0" w:tentative="0">
      <w:start w:val="1"/>
      <w:numFmt w:val="bullet"/>
      <w:lvlText w:val="-"/>
      <w:lvlJc w:val="left"/>
      <w:pPr>
        <w:tabs>
          <w:tab w:val="left" w:pos="420"/>
        </w:tabs>
        <w:ind w:left="840" w:hanging="420"/>
      </w:pPr>
      <w:rPr>
        <w:rFonts w:hint="default" w:ascii="Arial" w:hAnsi="Arial" w:cs="Arial"/>
      </w:rPr>
    </w:lvl>
  </w:abstractNum>
  <w:abstractNum w:abstractNumId="7">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EFF3FFD"/>
    <w:multiLevelType w:val="singleLevel"/>
    <w:tmpl w:val="1EFF3FFD"/>
    <w:lvl w:ilvl="0" w:tentative="0">
      <w:start w:val="1"/>
      <w:numFmt w:val="bullet"/>
      <w:lvlText w:val="•"/>
      <w:lvlJc w:val="left"/>
      <w:pPr>
        <w:ind w:left="420" w:hanging="420"/>
      </w:pPr>
      <w:rPr>
        <w:rFonts w:hint="default" w:ascii="Arial" w:hAnsi="Arial" w:cs="Arial"/>
      </w:rPr>
    </w:lvl>
  </w:abstractNum>
  <w:abstractNum w:abstractNumId="10">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E93823A"/>
    <w:multiLevelType w:val="singleLevel"/>
    <w:tmpl w:val="5E93823A"/>
    <w:lvl w:ilvl="0" w:tentative="0">
      <w:start w:val="1"/>
      <w:numFmt w:val="decimal"/>
      <w:suff w:val="space"/>
      <w:lvlText w:val="[%1]"/>
      <w:lvlJc w:val="left"/>
    </w:lvl>
  </w:abstractNum>
  <w:abstractNum w:abstractNumId="13">
    <w:nsid w:val="66C975B2"/>
    <w:multiLevelType w:val="singleLevel"/>
    <w:tmpl w:val="66C975B2"/>
    <w:lvl w:ilvl="0" w:tentative="0">
      <w:start w:val="1"/>
      <w:numFmt w:val="bullet"/>
      <w:lvlText w:val="•"/>
      <w:lvlJc w:val="left"/>
      <w:pPr>
        <w:ind w:left="420" w:hanging="420"/>
      </w:pPr>
      <w:rPr>
        <w:rFonts w:hint="default" w:ascii="Arial" w:hAnsi="Arial" w:cs="Arial"/>
      </w:rPr>
    </w:lvl>
  </w:abstractNum>
  <w:num w:numId="1">
    <w:abstractNumId w:val="3"/>
  </w:num>
  <w:num w:numId="2">
    <w:abstractNumId w:val="0"/>
  </w:num>
  <w:num w:numId="3">
    <w:abstractNumId w:val="11"/>
  </w:num>
  <w:num w:numId="4">
    <w:abstractNumId w:val="8"/>
  </w:num>
  <w:num w:numId="5">
    <w:abstractNumId w:val="7"/>
  </w:num>
  <w:num w:numId="6">
    <w:abstractNumId w:val="9"/>
  </w:num>
  <w:num w:numId="7">
    <w:abstractNumId w:val="2"/>
  </w:num>
  <w:num w:numId="8">
    <w:abstractNumId w:val="5"/>
  </w:num>
  <w:num w:numId="9">
    <w:abstractNumId w:val="10"/>
  </w:num>
  <w:num w:numId="10">
    <w:abstractNumId w:val="1"/>
  </w:num>
  <w:num w:numId="11">
    <w:abstractNumId w:val="4"/>
  </w:num>
  <w:num w:numId="12">
    <w:abstractNumId w:val="13"/>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10D"/>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26E"/>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8D"/>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4C9"/>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7A"/>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099"/>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0E5"/>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EB"/>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8DF"/>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B7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6E"/>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37"/>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06E"/>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6C33"/>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19"/>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520"/>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B39"/>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50D"/>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BC8"/>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5F"/>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EA"/>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0E0"/>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E15"/>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176"/>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366"/>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6FFE"/>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620"/>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3B"/>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B4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4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57E"/>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D53"/>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BB7"/>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29F"/>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8DA"/>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B8"/>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EFF"/>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69B"/>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520B7"/>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84C5B"/>
    <w:rsid w:val="013C501C"/>
    <w:rsid w:val="013D170F"/>
    <w:rsid w:val="013D4FA6"/>
    <w:rsid w:val="013F2C6E"/>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367EC"/>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37524"/>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178D"/>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6152D"/>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B709E"/>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10E76"/>
    <w:rsid w:val="0266047F"/>
    <w:rsid w:val="026B4AEA"/>
    <w:rsid w:val="026F3AA2"/>
    <w:rsid w:val="02746FAE"/>
    <w:rsid w:val="027720C4"/>
    <w:rsid w:val="0277644C"/>
    <w:rsid w:val="0278020E"/>
    <w:rsid w:val="0278630D"/>
    <w:rsid w:val="027B658C"/>
    <w:rsid w:val="027E61C3"/>
    <w:rsid w:val="027F3306"/>
    <w:rsid w:val="027F4920"/>
    <w:rsid w:val="02816D9C"/>
    <w:rsid w:val="02831C33"/>
    <w:rsid w:val="028730BB"/>
    <w:rsid w:val="02875AD4"/>
    <w:rsid w:val="028E5CAB"/>
    <w:rsid w:val="028F4EA5"/>
    <w:rsid w:val="029002E5"/>
    <w:rsid w:val="029249A6"/>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86002"/>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DA606B"/>
    <w:rsid w:val="02E00810"/>
    <w:rsid w:val="02E03561"/>
    <w:rsid w:val="02E05DD3"/>
    <w:rsid w:val="02E14FCB"/>
    <w:rsid w:val="02E241B2"/>
    <w:rsid w:val="02E5740B"/>
    <w:rsid w:val="02E75E46"/>
    <w:rsid w:val="02E93378"/>
    <w:rsid w:val="02EB0E60"/>
    <w:rsid w:val="02EC5024"/>
    <w:rsid w:val="02EE5B04"/>
    <w:rsid w:val="02EF5A5A"/>
    <w:rsid w:val="02F060F1"/>
    <w:rsid w:val="02F16096"/>
    <w:rsid w:val="02F17425"/>
    <w:rsid w:val="02F33215"/>
    <w:rsid w:val="02F361E7"/>
    <w:rsid w:val="02F46D5B"/>
    <w:rsid w:val="02F6371C"/>
    <w:rsid w:val="02F93CBD"/>
    <w:rsid w:val="02FC269F"/>
    <w:rsid w:val="02FE7D30"/>
    <w:rsid w:val="03001EE4"/>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B703D"/>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43640"/>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15F2F"/>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A4C5C"/>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4FE7541"/>
    <w:rsid w:val="0503522D"/>
    <w:rsid w:val="050A5317"/>
    <w:rsid w:val="050B0A31"/>
    <w:rsid w:val="050E084E"/>
    <w:rsid w:val="050E0C3D"/>
    <w:rsid w:val="05140957"/>
    <w:rsid w:val="051B5E2D"/>
    <w:rsid w:val="051D7898"/>
    <w:rsid w:val="05200F3F"/>
    <w:rsid w:val="0520754F"/>
    <w:rsid w:val="052636CF"/>
    <w:rsid w:val="052E2209"/>
    <w:rsid w:val="05314D9F"/>
    <w:rsid w:val="05337B75"/>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E7782"/>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4A6"/>
    <w:rsid w:val="06272BE3"/>
    <w:rsid w:val="062763EB"/>
    <w:rsid w:val="062A0521"/>
    <w:rsid w:val="062B7408"/>
    <w:rsid w:val="062C1EC6"/>
    <w:rsid w:val="062D57CC"/>
    <w:rsid w:val="062F16FB"/>
    <w:rsid w:val="062F75DA"/>
    <w:rsid w:val="06353716"/>
    <w:rsid w:val="06357C71"/>
    <w:rsid w:val="06370542"/>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21AC5"/>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17DF"/>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761A8"/>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22702"/>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06573"/>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CB76D4"/>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5315"/>
    <w:rsid w:val="07F06E95"/>
    <w:rsid w:val="07F40498"/>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37594"/>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01380"/>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E7158"/>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A3540"/>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A7"/>
    <w:rsid w:val="098147F0"/>
    <w:rsid w:val="0982148A"/>
    <w:rsid w:val="098849AF"/>
    <w:rsid w:val="098A3FEF"/>
    <w:rsid w:val="098A6403"/>
    <w:rsid w:val="098C36F0"/>
    <w:rsid w:val="098F18BA"/>
    <w:rsid w:val="098F49D9"/>
    <w:rsid w:val="099103FC"/>
    <w:rsid w:val="09912705"/>
    <w:rsid w:val="099377DC"/>
    <w:rsid w:val="099A566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914A2"/>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5770F"/>
    <w:rsid w:val="0A7874E3"/>
    <w:rsid w:val="0A7B407A"/>
    <w:rsid w:val="0A8053C5"/>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D2D76"/>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83329"/>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4C6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55EDB"/>
    <w:rsid w:val="0B764112"/>
    <w:rsid w:val="0B765A60"/>
    <w:rsid w:val="0B785BF1"/>
    <w:rsid w:val="0B78649A"/>
    <w:rsid w:val="0B7A50DB"/>
    <w:rsid w:val="0B7B0749"/>
    <w:rsid w:val="0B7D3AC4"/>
    <w:rsid w:val="0B7E624E"/>
    <w:rsid w:val="0B826D1C"/>
    <w:rsid w:val="0B831B71"/>
    <w:rsid w:val="0B841782"/>
    <w:rsid w:val="0B8A6A06"/>
    <w:rsid w:val="0B8B3A3B"/>
    <w:rsid w:val="0B8C5B91"/>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084E"/>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432A9"/>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08E8"/>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D73"/>
    <w:rsid w:val="0D0A3F56"/>
    <w:rsid w:val="0D0C1984"/>
    <w:rsid w:val="0D0C384C"/>
    <w:rsid w:val="0D0C4871"/>
    <w:rsid w:val="0D0F458A"/>
    <w:rsid w:val="0D127AFD"/>
    <w:rsid w:val="0D14782C"/>
    <w:rsid w:val="0D15028B"/>
    <w:rsid w:val="0D1757D9"/>
    <w:rsid w:val="0D1969DD"/>
    <w:rsid w:val="0D1C38FE"/>
    <w:rsid w:val="0D1C4C53"/>
    <w:rsid w:val="0D1D4C1E"/>
    <w:rsid w:val="0D1F255A"/>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A509D"/>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7F4DF5"/>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36A3E"/>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B1A8B"/>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BD05FC"/>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162B4E"/>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5743C"/>
    <w:rsid w:val="0F675A2D"/>
    <w:rsid w:val="0F6775E3"/>
    <w:rsid w:val="0F6B70F9"/>
    <w:rsid w:val="0F6F50EB"/>
    <w:rsid w:val="0F701E6B"/>
    <w:rsid w:val="0F76363A"/>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97C63"/>
    <w:rsid w:val="0FAA10C5"/>
    <w:rsid w:val="0FAA31C5"/>
    <w:rsid w:val="0FAB311B"/>
    <w:rsid w:val="0FAF52CB"/>
    <w:rsid w:val="0FB53A30"/>
    <w:rsid w:val="0FB7307F"/>
    <w:rsid w:val="0FB7767A"/>
    <w:rsid w:val="0FB802EA"/>
    <w:rsid w:val="0FC2032D"/>
    <w:rsid w:val="0FC37510"/>
    <w:rsid w:val="0FC407AB"/>
    <w:rsid w:val="0FC4616A"/>
    <w:rsid w:val="0FC510F6"/>
    <w:rsid w:val="0FC55DD4"/>
    <w:rsid w:val="0FC57255"/>
    <w:rsid w:val="0FC610D3"/>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316CB"/>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1F3B"/>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215F"/>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A42B2"/>
    <w:rsid w:val="109B3B87"/>
    <w:rsid w:val="109E3769"/>
    <w:rsid w:val="10A119CE"/>
    <w:rsid w:val="10A3409D"/>
    <w:rsid w:val="10A46AF2"/>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83C9C"/>
    <w:rsid w:val="10E96507"/>
    <w:rsid w:val="10EC6763"/>
    <w:rsid w:val="10ED79A2"/>
    <w:rsid w:val="10EE5DD1"/>
    <w:rsid w:val="10EF19E4"/>
    <w:rsid w:val="10EF5F16"/>
    <w:rsid w:val="10F007D8"/>
    <w:rsid w:val="10F046AC"/>
    <w:rsid w:val="10F11BFF"/>
    <w:rsid w:val="10F2465E"/>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00501"/>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1101"/>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65C88"/>
    <w:rsid w:val="11A97E56"/>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24C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C0AD4"/>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9E211B"/>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DB06B6"/>
    <w:rsid w:val="12E0156B"/>
    <w:rsid w:val="12E5686D"/>
    <w:rsid w:val="12EA48F2"/>
    <w:rsid w:val="12EC38F6"/>
    <w:rsid w:val="12EF3C5C"/>
    <w:rsid w:val="12F00E7B"/>
    <w:rsid w:val="12F308FC"/>
    <w:rsid w:val="12F71682"/>
    <w:rsid w:val="12F85E8C"/>
    <w:rsid w:val="12F95EB4"/>
    <w:rsid w:val="12FA6FB1"/>
    <w:rsid w:val="12FE04F2"/>
    <w:rsid w:val="12FE3439"/>
    <w:rsid w:val="12FF264C"/>
    <w:rsid w:val="130143BE"/>
    <w:rsid w:val="13014A38"/>
    <w:rsid w:val="13076BAF"/>
    <w:rsid w:val="130B4CCD"/>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50C1"/>
    <w:rsid w:val="13537D38"/>
    <w:rsid w:val="1354153D"/>
    <w:rsid w:val="1354774E"/>
    <w:rsid w:val="135A55B0"/>
    <w:rsid w:val="135C41A2"/>
    <w:rsid w:val="135D0726"/>
    <w:rsid w:val="135D36C3"/>
    <w:rsid w:val="13602B5A"/>
    <w:rsid w:val="136163B4"/>
    <w:rsid w:val="1363772A"/>
    <w:rsid w:val="13642DDD"/>
    <w:rsid w:val="13645B2A"/>
    <w:rsid w:val="13646D5E"/>
    <w:rsid w:val="136640E2"/>
    <w:rsid w:val="13667089"/>
    <w:rsid w:val="13691B25"/>
    <w:rsid w:val="13713FDA"/>
    <w:rsid w:val="13717EF5"/>
    <w:rsid w:val="13785B73"/>
    <w:rsid w:val="137D18A7"/>
    <w:rsid w:val="137E77BD"/>
    <w:rsid w:val="137F1409"/>
    <w:rsid w:val="1382119A"/>
    <w:rsid w:val="13834E54"/>
    <w:rsid w:val="138C3BB4"/>
    <w:rsid w:val="138C5E10"/>
    <w:rsid w:val="138D1B3C"/>
    <w:rsid w:val="138E21E8"/>
    <w:rsid w:val="138F1AA2"/>
    <w:rsid w:val="139703D5"/>
    <w:rsid w:val="139F4078"/>
    <w:rsid w:val="13A4725B"/>
    <w:rsid w:val="13AA14BA"/>
    <w:rsid w:val="13AA36AA"/>
    <w:rsid w:val="13AA72DA"/>
    <w:rsid w:val="13AE4A5F"/>
    <w:rsid w:val="13AF27E1"/>
    <w:rsid w:val="13B106F0"/>
    <w:rsid w:val="13B37952"/>
    <w:rsid w:val="13B4098E"/>
    <w:rsid w:val="13B52DAA"/>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357AE"/>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652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30823"/>
    <w:rsid w:val="14963D9A"/>
    <w:rsid w:val="149746A4"/>
    <w:rsid w:val="14997436"/>
    <w:rsid w:val="149D3DDF"/>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1F77AB"/>
    <w:rsid w:val="1521576A"/>
    <w:rsid w:val="15231E2E"/>
    <w:rsid w:val="15242DBE"/>
    <w:rsid w:val="15262908"/>
    <w:rsid w:val="15286061"/>
    <w:rsid w:val="1529226A"/>
    <w:rsid w:val="152F620B"/>
    <w:rsid w:val="15331AE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C19E5"/>
    <w:rsid w:val="154D0E1B"/>
    <w:rsid w:val="154D3BE2"/>
    <w:rsid w:val="15536F18"/>
    <w:rsid w:val="15562C96"/>
    <w:rsid w:val="155D4772"/>
    <w:rsid w:val="1560174E"/>
    <w:rsid w:val="15603D0F"/>
    <w:rsid w:val="156103E7"/>
    <w:rsid w:val="15635D03"/>
    <w:rsid w:val="156A08CE"/>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004AE"/>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63ED9"/>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B60BD"/>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661"/>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41FCF"/>
    <w:rsid w:val="170524AD"/>
    <w:rsid w:val="170945A3"/>
    <w:rsid w:val="170976C9"/>
    <w:rsid w:val="170D6B49"/>
    <w:rsid w:val="171458E9"/>
    <w:rsid w:val="171476E9"/>
    <w:rsid w:val="17191FB1"/>
    <w:rsid w:val="171A6055"/>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59AA"/>
    <w:rsid w:val="176D7150"/>
    <w:rsid w:val="176E3BFD"/>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74CA3"/>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079E"/>
    <w:rsid w:val="17CF41F2"/>
    <w:rsid w:val="17D80C3B"/>
    <w:rsid w:val="17D966AD"/>
    <w:rsid w:val="17DD5536"/>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87480"/>
    <w:rsid w:val="17FA334F"/>
    <w:rsid w:val="17FC3372"/>
    <w:rsid w:val="17FE4B96"/>
    <w:rsid w:val="18015BFF"/>
    <w:rsid w:val="18023379"/>
    <w:rsid w:val="18073D08"/>
    <w:rsid w:val="18074A56"/>
    <w:rsid w:val="1807600A"/>
    <w:rsid w:val="180905B4"/>
    <w:rsid w:val="180C5D46"/>
    <w:rsid w:val="18103F33"/>
    <w:rsid w:val="1814736E"/>
    <w:rsid w:val="18155B4C"/>
    <w:rsid w:val="18191746"/>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74EE7"/>
    <w:rsid w:val="18397E4E"/>
    <w:rsid w:val="183C1763"/>
    <w:rsid w:val="183D327D"/>
    <w:rsid w:val="18405EA3"/>
    <w:rsid w:val="184346C8"/>
    <w:rsid w:val="18434EDA"/>
    <w:rsid w:val="184358B8"/>
    <w:rsid w:val="184476DA"/>
    <w:rsid w:val="18486D78"/>
    <w:rsid w:val="18493900"/>
    <w:rsid w:val="185815FC"/>
    <w:rsid w:val="18587C4F"/>
    <w:rsid w:val="185C086E"/>
    <w:rsid w:val="186051A6"/>
    <w:rsid w:val="186065CB"/>
    <w:rsid w:val="18672953"/>
    <w:rsid w:val="186979E6"/>
    <w:rsid w:val="18697C3A"/>
    <w:rsid w:val="186A4932"/>
    <w:rsid w:val="186B5EAE"/>
    <w:rsid w:val="186C29AA"/>
    <w:rsid w:val="186C3F77"/>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99012D"/>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44E31"/>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3DDD"/>
    <w:rsid w:val="194A66F4"/>
    <w:rsid w:val="194C08BA"/>
    <w:rsid w:val="194C6683"/>
    <w:rsid w:val="19502F20"/>
    <w:rsid w:val="19506062"/>
    <w:rsid w:val="19522E6E"/>
    <w:rsid w:val="19525AB7"/>
    <w:rsid w:val="19530B27"/>
    <w:rsid w:val="19546120"/>
    <w:rsid w:val="19546D47"/>
    <w:rsid w:val="19553A9D"/>
    <w:rsid w:val="19594AC8"/>
    <w:rsid w:val="195B0583"/>
    <w:rsid w:val="195E1092"/>
    <w:rsid w:val="19620449"/>
    <w:rsid w:val="19642537"/>
    <w:rsid w:val="19661490"/>
    <w:rsid w:val="196B01BF"/>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D21C8"/>
    <w:rsid w:val="19BF37BB"/>
    <w:rsid w:val="19BF6811"/>
    <w:rsid w:val="19C2694B"/>
    <w:rsid w:val="19C80559"/>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8721B"/>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2D6D73"/>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B3B65"/>
    <w:rsid w:val="1A5D418F"/>
    <w:rsid w:val="1A5E1696"/>
    <w:rsid w:val="1A6030D5"/>
    <w:rsid w:val="1A605DAC"/>
    <w:rsid w:val="1A611FA3"/>
    <w:rsid w:val="1A644E8B"/>
    <w:rsid w:val="1A646D9A"/>
    <w:rsid w:val="1A650955"/>
    <w:rsid w:val="1A6670AF"/>
    <w:rsid w:val="1A671279"/>
    <w:rsid w:val="1A6A315D"/>
    <w:rsid w:val="1A713623"/>
    <w:rsid w:val="1A72738E"/>
    <w:rsid w:val="1A7401C9"/>
    <w:rsid w:val="1A746F7C"/>
    <w:rsid w:val="1A75269A"/>
    <w:rsid w:val="1A765A93"/>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36A47"/>
    <w:rsid w:val="1AA95DF0"/>
    <w:rsid w:val="1AA964C5"/>
    <w:rsid w:val="1AAA22C3"/>
    <w:rsid w:val="1AAC5EBD"/>
    <w:rsid w:val="1AAD78D2"/>
    <w:rsid w:val="1AAE5354"/>
    <w:rsid w:val="1AB31350"/>
    <w:rsid w:val="1AB339DA"/>
    <w:rsid w:val="1AB64C6B"/>
    <w:rsid w:val="1AB8464E"/>
    <w:rsid w:val="1AB86D73"/>
    <w:rsid w:val="1ABA333C"/>
    <w:rsid w:val="1ABB3433"/>
    <w:rsid w:val="1ABD698D"/>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5D51"/>
    <w:rsid w:val="1B487E3D"/>
    <w:rsid w:val="1B5244B6"/>
    <w:rsid w:val="1B527FB6"/>
    <w:rsid w:val="1B55429F"/>
    <w:rsid w:val="1B56509F"/>
    <w:rsid w:val="1B5C4B10"/>
    <w:rsid w:val="1B5F774C"/>
    <w:rsid w:val="1B623C43"/>
    <w:rsid w:val="1B633AE8"/>
    <w:rsid w:val="1B6661AC"/>
    <w:rsid w:val="1B696E4B"/>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4DA"/>
    <w:rsid w:val="1B966CFD"/>
    <w:rsid w:val="1B971428"/>
    <w:rsid w:val="1B9D15E7"/>
    <w:rsid w:val="1B9D1CD8"/>
    <w:rsid w:val="1BA11EB8"/>
    <w:rsid w:val="1BA33B85"/>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4566B"/>
    <w:rsid w:val="1BF52E62"/>
    <w:rsid w:val="1BF70226"/>
    <w:rsid w:val="1BF813CD"/>
    <w:rsid w:val="1BFA0B60"/>
    <w:rsid w:val="1BFC4EEB"/>
    <w:rsid w:val="1BFF36C7"/>
    <w:rsid w:val="1C012DC3"/>
    <w:rsid w:val="1C015804"/>
    <w:rsid w:val="1C0313F0"/>
    <w:rsid w:val="1C035E16"/>
    <w:rsid w:val="1C040195"/>
    <w:rsid w:val="1C070D09"/>
    <w:rsid w:val="1C081779"/>
    <w:rsid w:val="1C086588"/>
    <w:rsid w:val="1C097162"/>
    <w:rsid w:val="1C0A656E"/>
    <w:rsid w:val="1C0A7F59"/>
    <w:rsid w:val="1C0D548D"/>
    <w:rsid w:val="1C0E5AF8"/>
    <w:rsid w:val="1C1147C7"/>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43288"/>
    <w:rsid w:val="1C553AF0"/>
    <w:rsid w:val="1C55783B"/>
    <w:rsid w:val="1C574135"/>
    <w:rsid w:val="1C57506F"/>
    <w:rsid w:val="1C5F4D1A"/>
    <w:rsid w:val="1C600A56"/>
    <w:rsid w:val="1C606999"/>
    <w:rsid w:val="1C650DE0"/>
    <w:rsid w:val="1C65681C"/>
    <w:rsid w:val="1C6611FF"/>
    <w:rsid w:val="1C667A4D"/>
    <w:rsid w:val="1C733A6E"/>
    <w:rsid w:val="1C753711"/>
    <w:rsid w:val="1C787478"/>
    <w:rsid w:val="1C7911F5"/>
    <w:rsid w:val="1C7A4B33"/>
    <w:rsid w:val="1C7E582F"/>
    <w:rsid w:val="1C7F1E27"/>
    <w:rsid w:val="1C8629DB"/>
    <w:rsid w:val="1C87286B"/>
    <w:rsid w:val="1C87533D"/>
    <w:rsid w:val="1C8854E2"/>
    <w:rsid w:val="1C8A3DE3"/>
    <w:rsid w:val="1C8B0CC4"/>
    <w:rsid w:val="1C8C5E56"/>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13643"/>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E1860"/>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253D"/>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A665A"/>
    <w:rsid w:val="1E2B5964"/>
    <w:rsid w:val="1E2F798D"/>
    <w:rsid w:val="1E300851"/>
    <w:rsid w:val="1E301FEE"/>
    <w:rsid w:val="1E325F1A"/>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948EF"/>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259C6"/>
    <w:rsid w:val="1ECA0A1D"/>
    <w:rsid w:val="1ECB2149"/>
    <w:rsid w:val="1ECD00B7"/>
    <w:rsid w:val="1ECD759C"/>
    <w:rsid w:val="1ECE1B03"/>
    <w:rsid w:val="1ECE723E"/>
    <w:rsid w:val="1ED2256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1727D"/>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D4085"/>
    <w:rsid w:val="1F8E4E2E"/>
    <w:rsid w:val="1F8F222B"/>
    <w:rsid w:val="1F927123"/>
    <w:rsid w:val="1F9A2894"/>
    <w:rsid w:val="1F9A4525"/>
    <w:rsid w:val="1F9A7DD3"/>
    <w:rsid w:val="1F9B75A9"/>
    <w:rsid w:val="1FA35CF7"/>
    <w:rsid w:val="1FA71D9E"/>
    <w:rsid w:val="1FA90F7F"/>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33536"/>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C5F6F"/>
    <w:rsid w:val="203D5472"/>
    <w:rsid w:val="203F1315"/>
    <w:rsid w:val="20412211"/>
    <w:rsid w:val="20422116"/>
    <w:rsid w:val="204417F2"/>
    <w:rsid w:val="204436C4"/>
    <w:rsid w:val="20495DD8"/>
    <w:rsid w:val="204B6316"/>
    <w:rsid w:val="204C7C1A"/>
    <w:rsid w:val="204D3C8B"/>
    <w:rsid w:val="204D6F97"/>
    <w:rsid w:val="20502A11"/>
    <w:rsid w:val="20507F06"/>
    <w:rsid w:val="20517C71"/>
    <w:rsid w:val="20577E1E"/>
    <w:rsid w:val="20594BEA"/>
    <w:rsid w:val="20596EAE"/>
    <w:rsid w:val="205A6767"/>
    <w:rsid w:val="205C19D4"/>
    <w:rsid w:val="205D2A9E"/>
    <w:rsid w:val="205D4887"/>
    <w:rsid w:val="20611AF5"/>
    <w:rsid w:val="2063268B"/>
    <w:rsid w:val="20636415"/>
    <w:rsid w:val="206664D4"/>
    <w:rsid w:val="20694591"/>
    <w:rsid w:val="206A1605"/>
    <w:rsid w:val="206D525E"/>
    <w:rsid w:val="207A7253"/>
    <w:rsid w:val="207C2B34"/>
    <w:rsid w:val="207D2005"/>
    <w:rsid w:val="20806D31"/>
    <w:rsid w:val="20807156"/>
    <w:rsid w:val="20837375"/>
    <w:rsid w:val="20854EC2"/>
    <w:rsid w:val="20867D8F"/>
    <w:rsid w:val="20877693"/>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11FFC"/>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3228B"/>
    <w:rsid w:val="20F453F7"/>
    <w:rsid w:val="20F54434"/>
    <w:rsid w:val="20F627FE"/>
    <w:rsid w:val="20F70171"/>
    <w:rsid w:val="20F81429"/>
    <w:rsid w:val="20FE3943"/>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6485B"/>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A359C"/>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048D"/>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0607"/>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05CB"/>
    <w:rsid w:val="23ED2BCC"/>
    <w:rsid w:val="23EE1A0B"/>
    <w:rsid w:val="23EE32CE"/>
    <w:rsid w:val="23F33C73"/>
    <w:rsid w:val="23F650B1"/>
    <w:rsid w:val="23FF020F"/>
    <w:rsid w:val="240050CB"/>
    <w:rsid w:val="24060D25"/>
    <w:rsid w:val="240772AA"/>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62377"/>
    <w:rsid w:val="243D017A"/>
    <w:rsid w:val="24410551"/>
    <w:rsid w:val="244340B3"/>
    <w:rsid w:val="24444FD4"/>
    <w:rsid w:val="24464871"/>
    <w:rsid w:val="244A34E7"/>
    <w:rsid w:val="245A074D"/>
    <w:rsid w:val="245D17E8"/>
    <w:rsid w:val="245E4A07"/>
    <w:rsid w:val="245E7BF1"/>
    <w:rsid w:val="246419BD"/>
    <w:rsid w:val="246462C3"/>
    <w:rsid w:val="24651C4F"/>
    <w:rsid w:val="246739A9"/>
    <w:rsid w:val="24696713"/>
    <w:rsid w:val="246F7D44"/>
    <w:rsid w:val="24706349"/>
    <w:rsid w:val="24711307"/>
    <w:rsid w:val="24712DF5"/>
    <w:rsid w:val="24754CB4"/>
    <w:rsid w:val="24755D57"/>
    <w:rsid w:val="247769A4"/>
    <w:rsid w:val="2478358B"/>
    <w:rsid w:val="24784120"/>
    <w:rsid w:val="247A0B6D"/>
    <w:rsid w:val="247E2BA8"/>
    <w:rsid w:val="24821C44"/>
    <w:rsid w:val="24822A2F"/>
    <w:rsid w:val="248A1D6B"/>
    <w:rsid w:val="248A2891"/>
    <w:rsid w:val="248A5B64"/>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46CB1"/>
    <w:rsid w:val="25452EC9"/>
    <w:rsid w:val="254546F8"/>
    <w:rsid w:val="254876B3"/>
    <w:rsid w:val="25496EE6"/>
    <w:rsid w:val="254B70A1"/>
    <w:rsid w:val="254B76A2"/>
    <w:rsid w:val="254C40BE"/>
    <w:rsid w:val="254F08C6"/>
    <w:rsid w:val="25513A25"/>
    <w:rsid w:val="255513D2"/>
    <w:rsid w:val="255A50C8"/>
    <w:rsid w:val="255B49B3"/>
    <w:rsid w:val="255C1932"/>
    <w:rsid w:val="255C5330"/>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14F4"/>
    <w:rsid w:val="25DE6EB0"/>
    <w:rsid w:val="25DE7808"/>
    <w:rsid w:val="25DF40E8"/>
    <w:rsid w:val="25E327EF"/>
    <w:rsid w:val="25E52DD1"/>
    <w:rsid w:val="25E60A39"/>
    <w:rsid w:val="25E62027"/>
    <w:rsid w:val="25E623BE"/>
    <w:rsid w:val="25E6527D"/>
    <w:rsid w:val="25E66749"/>
    <w:rsid w:val="25EA38BF"/>
    <w:rsid w:val="25F01888"/>
    <w:rsid w:val="25F35250"/>
    <w:rsid w:val="25F67CD3"/>
    <w:rsid w:val="25FA738B"/>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0591A"/>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74F02"/>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16922"/>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3617E"/>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667B3"/>
    <w:rsid w:val="27C86147"/>
    <w:rsid w:val="27CD3421"/>
    <w:rsid w:val="27CD48D5"/>
    <w:rsid w:val="27CE27FE"/>
    <w:rsid w:val="27D021D8"/>
    <w:rsid w:val="27D36A26"/>
    <w:rsid w:val="27D475AA"/>
    <w:rsid w:val="27D54E77"/>
    <w:rsid w:val="27D84549"/>
    <w:rsid w:val="27DB4D1C"/>
    <w:rsid w:val="27DC0EF4"/>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389C"/>
    <w:rsid w:val="280043D0"/>
    <w:rsid w:val="28013E59"/>
    <w:rsid w:val="28015DDF"/>
    <w:rsid w:val="280E125B"/>
    <w:rsid w:val="280F0B82"/>
    <w:rsid w:val="28125E32"/>
    <w:rsid w:val="2814140F"/>
    <w:rsid w:val="281B518B"/>
    <w:rsid w:val="281B53AF"/>
    <w:rsid w:val="281B5BAD"/>
    <w:rsid w:val="281B6DFF"/>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929FA"/>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D479E"/>
    <w:rsid w:val="299E3990"/>
    <w:rsid w:val="29A014FF"/>
    <w:rsid w:val="29A35675"/>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B679D"/>
    <w:rsid w:val="2A6E2A78"/>
    <w:rsid w:val="2A737DA4"/>
    <w:rsid w:val="2A7C3E7B"/>
    <w:rsid w:val="2A7D56C7"/>
    <w:rsid w:val="2A800ECA"/>
    <w:rsid w:val="2A8036D1"/>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471A2"/>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67EA6"/>
    <w:rsid w:val="2B5E4620"/>
    <w:rsid w:val="2B5F552F"/>
    <w:rsid w:val="2B61740F"/>
    <w:rsid w:val="2B68331A"/>
    <w:rsid w:val="2B683E0A"/>
    <w:rsid w:val="2B696B3A"/>
    <w:rsid w:val="2B6A4150"/>
    <w:rsid w:val="2B6A480A"/>
    <w:rsid w:val="2B6A59C5"/>
    <w:rsid w:val="2B6E1894"/>
    <w:rsid w:val="2B7218BC"/>
    <w:rsid w:val="2B730BFC"/>
    <w:rsid w:val="2B733214"/>
    <w:rsid w:val="2B754A48"/>
    <w:rsid w:val="2B77462E"/>
    <w:rsid w:val="2B7762E6"/>
    <w:rsid w:val="2B785E5C"/>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4F2C"/>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365A3"/>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0C28E4"/>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D7D"/>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D4B96"/>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3E32E1"/>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43510"/>
    <w:rsid w:val="2D757761"/>
    <w:rsid w:val="2D7650CC"/>
    <w:rsid w:val="2D774FFB"/>
    <w:rsid w:val="2D775745"/>
    <w:rsid w:val="2D797FB2"/>
    <w:rsid w:val="2D7A5E7E"/>
    <w:rsid w:val="2D851160"/>
    <w:rsid w:val="2D8679AE"/>
    <w:rsid w:val="2D872220"/>
    <w:rsid w:val="2D880E79"/>
    <w:rsid w:val="2D8B1097"/>
    <w:rsid w:val="2D8E4CEB"/>
    <w:rsid w:val="2D8E5B1A"/>
    <w:rsid w:val="2D905D36"/>
    <w:rsid w:val="2D921D07"/>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1197F"/>
    <w:rsid w:val="2DC35F5D"/>
    <w:rsid w:val="2DC3699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60F7F"/>
    <w:rsid w:val="2DF71333"/>
    <w:rsid w:val="2DF73F30"/>
    <w:rsid w:val="2DF9136B"/>
    <w:rsid w:val="2DFA1D0C"/>
    <w:rsid w:val="2DFE6ACC"/>
    <w:rsid w:val="2DFF7E04"/>
    <w:rsid w:val="2E025CC4"/>
    <w:rsid w:val="2E0312FB"/>
    <w:rsid w:val="2E044853"/>
    <w:rsid w:val="2E0B1DF4"/>
    <w:rsid w:val="2E0C7A4C"/>
    <w:rsid w:val="2E0D5208"/>
    <w:rsid w:val="2E0E4621"/>
    <w:rsid w:val="2E111190"/>
    <w:rsid w:val="2E1121FD"/>
    <w:rsid w:val="2E14569B"/>
    <w:rsid w:val="2E1502F0"/>
    <w:rsid w:val="2E1F1A31"/>
    <w:rsid w:val="2E205229"/>
    <w:rsid w:val="2E22327E"/>
    <w:rsid w:val="2E2235E1"/>
    <w:rsid w:val="2E2B51D9"/>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A2FEB"/>
    <w:rsid w:val="2EDC722F"/>
    <w:rsid w:val="2EDD77F3"/>
    <w:rsid w:val="2EDF7E4B"/>
    <w:rsid w:val="2EE04937"/>
    <w:rsid w:val="2EE0645B"/>
    <w:rsid w:val="2EE12975"/>
    <w:rsid w:val="2EE4485A"/>
    <w:rsid w:val="2EE52A03"/>
    <w:rsid w:val="2EE72F28"/>
    <w:rsid w:val="2EE813DE"/>
    <w:rsid w:val="2EEB065C"/>
    <w:rsid w:val="2EEB1791"/>
    <w:rsid w:val="2EEE46BF"/>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9F78B1"/>
    <w:rsid w:val="2FA1288C"/>
    <w:rsid w:val="2FA13F69"/>
    <w:rsid w:val="2FA43916"/>
    <w:rsid w:val="2FA46D8D"/>
    <w:rsid w:val="2FA53649"/>
    <w:rsid w:val="2FA6434F"/>
    <w:rsid w:val="2FA707D7"/>
    <w:rsid w:val="2FA766BC"/>
    <w:rsid w:val="2FB113E5"/>
    <w:rsid w:val="2FB11CC2"/>
    <w:rsid w:val="2FB47BC5"/>
    <w:rsid w:val="2FB52841"/>
    <w:rsid w:val="2FB54744"/>
    <w:rsid w:val="2FB72CA0"/>
    <w:rsid w:val="2FBA032B"/>
    <w:rsid w:val="2FBC3537"/>
    <w:rsid w:val="2FBD726B"/>
    <w:rsid w:val="2FC367EB"/>
    <w:rsid w:val="2FC601C1"/>
    <w:rsid w:val="2FC70CB8"/>
    <w:rsid w:val="2FC91B89"/>
    <w:rsid w:val="2FC95C78"/>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0C71"/>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1DAD"/>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83E21"/>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4E3D74"/>
    <w:rsid w:val="31514052"/>
    <w:rsid w:val="31544FB1"/>
    <w:rsid w:val="31560702"/>
    <w:rsid w:val="31571977"/>
    <w:rsid w:val="31571C78"/>
    <w:rsid w:val="315778D1"/>
    <w:rsid w:val="315B3B8B"/>
    <w:rsid w:val="315C54FC"/>
    <w:rsid w:val="31647F94"/>
    <w:rsid w:val="31655804"/>
    <w:rsid w:val="3167073B"/>
    <w:rsid w:val="31683A6E"/>
    <w:rsid w:val="316E471F"/>
    <w:rsid w:val="316F6E11"/>
    <w:rsid w:val="31723FFB"/>
    <w:rsid w:val="31725C00"/>
    <w:rsid w:val="31775F46"/>
    <w:rsid w:val="3179263A"/>
    <w:rsid w:val="317A104A"/>
    <w:rsid w:val="317F3FBE"/>
    <w:rsid w:val="317F4543"/>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1F5C"/>
    <w:rsid w:val="31E65806"/>
    <w:rsid w:val="31E71AD3"/>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3300"/>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85077"/>
    <w:rsid w:val="32496576"/>
    <w:rsid w:val="324A0310"/>
    <w:rsid w:val="324A525D"/>
    <w:rsid w:val="324C6902"/>
    <w:rsid w:val="324F7E77"/>
    <w:rsid w:val="32530870"/>
    <w:rsid w:val="325379A5"/>
    <w:rsid w:val="32573C38"/>
    <w:rsid w:val="32586B61"/>
    <w:rsid w:val="325900F4"/>
    <w:rsid w:val="325962B9"/>
    <w:rsid w:val="325A0237"/>
    <w:rsid w:val="325A43E6"/>
    <w:rsid w:val="325B3F2B"/>
    <w:rsid w:val="325C155E"/>
    <w:rsid w:val="325E2BBD"/>
    <w:rsid w:val="325F66E8"/>
    <w:rsid w:val="32603716"/>
    <w:rsid w:val="326170B4"/>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8F3C41"/>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373E"/>
    <w:rsid w:val="32D16CB6"/>
    <w:rsid w:val="32D20A96"/>
    <w:rsid w:val="32D43F24"/>
    <w:rsid w:val="32D65D1D"/>
    <w:rsid w:val="32D74A57"/>
    <w:rsid w:val="32D97A03"/>
    <w:rsid w:val="32DA6D7E"/>
    <w:rsid w:val="32DC5131"/>
    <w:rsid w:val="32DD4401"/>
    <w:rsid w:val="32DE6CFA"/>
    <w:rsid w:val="32DF090B"/>
    <w:rsid w:val="32E11FD3"/>
    <w:rsid w:val="32E12B57"/>
    <w:rsid w:val="32E16709"/>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433EF"/>
    <w:rsid w:val="33257307"/>
    <w:rsid w:val="333102EF"/>
    <w:rsid w:val="33313FC3"/>
    <w:rsid w:val="333702E1"/>
    <w:rsid w:val="333751D5"/>
    <w:rsid w:val="333A1999"/>
    <w:rsid w:val="333D4187"/>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0CAA"/>
    <w:rsid w:val="335D2A59"/>
    <w:rsid w:val="335F5958"/>
    <w:rsid w:val="33601403"/>
    <w:rsid w:val="3364096F"/>
    <w:rsid w:val="336705FF"/>
    <w:rsid w:val="3369354A"/>
    <w:rsid w:val="336A45E2"/>
    <w:rsid w:val="336A6F38"/>
    <w:rsid w:val="336E4ED6"/>
    <w:rsid w:val="336F02F9"/>
    <w:rsid w:val="33716B56"/>
    <w:rsid w:val="3373347A"/>
    <w:rsid w:val="33742DCE"/>
    <w:rsid w:val="33771FDC"/>
    <w:rsid w:val="3377720F"/>
    <w:rsid w:val="337D0287"/>
    <w:rsid w:val="337D52E9"/>
    <w:rsid w:val="3380076E"/>
    <w:rsid w:val="33842139"/>
    <w:rsid w:val="338738B9"/>
    <w:rsid w:val="338A315D"/>
    <w:rsid w:val="339170EF"/>
    <w:rsid w:val="33932198"/>
    <w:rsid w:val="33967FE7"/>
    <w:rsid w:val="33975AE0"/>
    <w:rsid w:val="339A4201"/>
    <w:rsid w:val="339E733B"/>
    <w:rsid w:val="33A12E5B"/>
    <w:rsid w:val="33A67B79"/>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C81D8D"/>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576C7"/>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14911"/>
    <w:rsid w:val="34B20B82"/>
    <w:rsid w:val="34B20CB9"/>
    <w:rsid w:val="34B2523D"/>
    <w:rsid w:val="34B3631E"/>
    <w:rsid w:val="34B72433"/>
    <w:rsid w:val="34BB4EBF"/>
    <w:rsid w:val="34C037F6"/>
    <w:rsid w:val="34C510F1"/>
    <w:rsid w:val="34C65624"/>
    <w:rsid w:val="34C67823"/>
    <w:rsid w:val="34CC14A4"/>
    <w:rsid w:val="34CE25A5"/>
    <w:rsid w:val="34CF701B"/>
    <w:rsid w:val="34D01EFF"/>
    <w:rsid w:val="34D414E6"/>
    <w:rsid w:val="34D665DD"/>
    <w:rsid w:val="34DB4F48"/>
    <w:rsid w:val="34DC68C6"/>
    <w:rsid w:val="34E509F2"/>
    <w:rsid w:val="34E8105C"/>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2C49"/>
    <w:rsid w:val="352B648D"/>
    <w:rsid w:val="352C4E66"/>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1522F"/>
    <w:rsid w:val="35645D84"/>
    <w:rsid w:val="35675BE6"/>
    <w:rsid w:val="356B1CA6"/>
    <w:rsid w:val="356E5A0B"/>
    <w:rsid w:val="356E6429"/>
    <w:rsid w:val="356E6E51"/>
    <w:rsid w:val="357706DE"/>
    <w:rsid w:val="357F223D"/>
    <w:rsid w:val="358511C4"/>
    <w:rsid w:val="35856351"/>
    <w:rsid w:val="35862921"/>
    <w:rsid w:val="358D4F45"/>
    <w:rsid w:val="358D76C4"/>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A5466"/>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10F2"/>
    <w:rsid w:val="367D6EF4"/>
    <w:rsid w:val="368158FA"/>
    <w:rsid w:val="368321A5"/>
    <w:rsid w:val="3683277D"/>
    <w:rsid w:val="36871919"/>
    <w:rsid w:val="368C2F70"/>
    <w:rsid w:val="368D0336"/>
    <w:rsid w:val="368D31BA"/>
    <w:rsid w:val="368F1913"/>
    <w:rsid w:val="36933296"/>
    <w:rsid w:val="36984567"/>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468D3"/>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85C8B"/>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1255"/>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247"/>
    <w:rsid w:val="37EC0B89"/>
    <w:rsid w:val="37F050D5"/>
    <w:rsid w:val="37F06FDC"/>
    <w:rsid w:val="37F1732C"/>
    <w:rsid w:val="37F41004"/>
    <w:rsid w:val="37F50CDF"/>
    <w:rsid w:val="37F53C31"/>
    <w:rsid w:val="37F94635"/>
    <w:rsid w:val="37FC75A3"/>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8112E"/>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2C02"/>
    <w:rsid w:val="385A415B"/>
    <w:rsid w:val="385A4F69"/>
    <w:rsid w:val="385B0CCE"/>
    <w:rsid w:val="385C050F"/>
    <w:rsid w:val="385E53C0"/>
    <w:rsid w:val="386322B4"/>
    <w:rsid w:val="38670CAC"/>
    <w:rsid w:val="38686DDE"/>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2407A"/>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35398"/>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DF3A29"/>
    <w:rsid w:val="39E04358"/>
    <w:rsid w:val="39E069D4"/>
    <w:rsid w:val="39E20CCA"/>
    <w:rsid w:val="39E303A6"/>
    <w:rsid w:val="39E30B96"/>
    <w:rsid w:val="39E47AA3"/>
    <w:rsid w:val="39EA4612"/>
    <w:rsid w:val="39EC172A"/>
    <w:rsid w:val="39F070CC"/>
    <w:rsid w:val="39F1141A"/>
    <w:rsid w:val="39F12591"/>
    <w:rsid w:val="39F83248"/>
    <w:rsid w:val="39FA1CF1"/>
    <w:rsid w:val="39FD7E44"/>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35130"/>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4404E"/>
    <w:rsid w:val="3A953F33"/>
    <w:rsid w:val="3A956CA9"/>
    <w:rsid w:val="3A990ED9"/>
    <w:rsid w:val="3A9A07D3"/>
    <w:rsid w:val="3A9C50AA"/>
    <w:rsid w:val="3A9E2293"/>
    <w:rsid w:val="3A9F3B3D"/>
    <w:rsid w:val="3AA12ABC"/>
    <w:rsid w:val="3AA312D0"/>
    <w:rsid w:val="3AA76103"/>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0BAA"/>
    <w:rsid w:val="3AED3788"/>
    <w:rsid w:val="3AEE3DC3"/>
    <w:rsid w:val="3AEE7DB2"/>
    <w:rsid w:val="3AEF39DA"/>
    <w:rsid w:val="3AEF76B1"/>
    <w:rsid w:val="3AF231A2"/>
    <w:rsid w:val="3AF27012"/>
    <w:rsid w:val="3AF624E2"/>
    <w:rsid w:val="3AF808B9"/>
    <w:rsid w:val="3AF843C5"/>
    <w:rsid w:val="3AFC7952"/>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031A4"/>
    <w:rsid w:val="3B536163"/>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7E2286"/>
    <w:rsid w:val="3B81256C"/>
    <w:rsid w:val="3B827C3B"/>
    <w:rsid w:val="3B832A31"/>
    <w:rsid w:val="3B8535DD"/>
    <w:rsid w:val="3B865EFD"/>
    <w:rsid w:val="3B8A0FE3"/>
    <w:rsid w:val="3B8A6582"/>
    <w:rsid w:val="3B8B274A"/>
    <w:rsid w:val="3B8D0B94"/>
    <w:rsid w:val="3B8D3F60"/>
    <w:rsid w:val="3B90223A"/>
    <w:rsid w:val="3B9943CC"/>
    <w:rsid w:val="3B9A055F"/>
    <w:rsid w:val="3B9C0A2C"/>
    <w:rsid w:val="3BA15796"/>
    <w:rsid w:val="3BA23EEE"/>
    <w:rsid w:val="3BA313E5"/>
    <w:rsid w:val="3BA50C0C"/>
    <w:rsid w:val="3BA70120"/>
    <w:rsid w:val="3BA71D5D"/>
    <w:rsid w:val="3BA773DF"/>
    <w:rsid w:val="3BA8642A"/>
    <w:rsid w:val="3BA866BF"/>
    <w:rsid w:val="3BAD14AF"/>
    <w:rsid w:val="3BB153B2"/>
    <w:rsid w:val="3BB438AE"/>
    <w:rsid w:val="3BB503E2"/>
    <w:rsid w:val="3BB67C98"/>
    <w:rsid w:val="3BB810DD"/>
    <w:rsid w:val="3BB9138A"/>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34220"/>
    <w:rsid w:val="3BD60116"/>
    <w:rsid w:val="3BD82617"/>
    <w:rsid w:val="3BDB327D"/>
    <w:rsid w:val="3BDB4383"/>
    <w:rsid w:val="3BDC50D4"/>
    <w:rsid w:val="3BDF4771"/>
    <w:rsid w:val="3BE8793B"/>
    <w:rsid w:val="3BEA1F05"/>
    <w:rsid w:val="3BEC3AEB"/>
    <w:rsid w:val="3BEE347F"/>
    <w:rsid w:val="3BEF20A5"/>
    <w:rsid w:val="3BEF7A3A"/>
    <w:rsid w:val="3BF23DEC"/>
    <w:rsid w:val="3BF30D1B"/>
    <w:rsid w:val="3BF3263D"/>
    <w:rsid w:val="3BF435CE"/>
    <w:rsid w:val="3BFA2827"/>
    <w:rsid w:val="3BFA7D60"/>
    <w:rsid w:val="3BFE738F"/>
    <w:rsid w:val="3C003CFD"/>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32EA9"/>
    <w:rsid w:val="3C471DC4"/>
    <w:rsid w:val="3C480D6D"/>
    <w:rsid w:val="3C4A36CF"/>
    <w:rsid w:val="3C4D7FC6"/>
    <w:rsid w:val="3C4E7F4A"/>
    <w:rsid w:val="3C50755E"/>
    <w:rsid w:val="3C520FB5"/>
    <w:rsid w:val="3C57055B"/>
    <w:rsid w:val="3C584143"/>
    <w:rsid w:val="3C5A0649"/>
    <w:rsid w:val="3C5D5511"/>
    <w:rsid w:val="3C5D5718"/>
    <w:rsid w:val="3C6053AA"/>
    <w:rsid w:val="3C6203AE"/>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62EA3"/>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3692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D0834"/>
    <w:rsid w:val="3DCE0A89"/>
    <w:rsid w:val="3DCE671C"/>
    <w:rsid w:val="3DCF1960"/>
    <w:rsid w:val="3DD02B71"/>
    <w:rsid w:val="3DD10E6B"/>
    <w:rsid w:val="3DD36973"/>
    <w:rsid w:val="3DD4738C"/>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525CD"/>
    <w:rsid w:val="3E0609B6"/>
    <w:rsid w:val="3E0C66FB"/>
    <w:rsid w:val="3E0F1CFB"/>
    <w:rsid w:val="3E10497C"/>
    <w:rsid w:val="3E111D45"/>
    <w:rsid w:val="3E126A8F"/>
    <w:rsid w:val="3E145966"/>
    <w:rsid w:val="3E1565B5"/>
    <w:rsid w:val="3E171DB9"/>
    <w:rsid w:val="3E1964D5"/>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B059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57A55"/>
    <w:rsid w:val="3E56265A"/>
    <w:rsid w:val="3E59557C"/>
    <w:rsid w:val="3E5E230C"/>
    <w:rsid w:val="3E5E304F"/>
    <w:rsid w:val="3E5F25B3"/>
    <w:rsid w:val="3E5F6DF9"/>
    <w:rsid w:val="3E633790"/>
    <w:rsid w:val="3E67542E"/>
    <w:rsid w:val="3E680184"/>
    <w:rsid w:val="3E6A4725"/>
    <w:rsid w:val="3E6B03FA"/>
    <w:rsid w:val="3E6C6226"/>
    <w:rsid w:val="3E74301D"/>
    <w:rsid w:val="3E74610F"/>
    <w:rsid w:val="3E77337D"/>
    <w:rsid w:val="3E79217F"/>
    <w:rsid w:val="3E796792"/>
    <w:rsid w:val="3E7D0CB0"/>
    <w:rsid w:val="3E7D2494"/>
    <w:rsid w:val="3E7D7398"/>
    <w:rsid w:val="3E850127"/>
    <w:rsid w:val="3E850395"/>
    <w:rsid w:val="3E85512E"/>
    <w:rsid w:val="3E8C086B"/>
    <w:rsid w:val="3E8D6B4D"/>
    <w:rsid w:val="3E8F266D"/>
    <w:rsid w:val="3E8F5775"/>
    <w:rsid w:val="3E921F0F"/>
    <w:rsid w:val="3E9278FD"/>
    <w:rsid w:val="3E951121"/>
    <w:rsid w:val="3E985F3F"/>
    <w:rsid w:val="3EA32A03"/>
    <w:rsid w:val="3EA35B18"/>
    <w:rsid w:val="3EA916AB"/>
    <w:rsid w:val="3EAC2DE3"/>
    <w:rsid w:val="3EB80F93"/>
    <w:rsid w:val="3EBC260C"/>
    <w:rsid w:val="3EBE190B"/>
    <w:rsid w:val="3EBE4AA1"/>
    <w:rsid w:val="3EC02337"/>
    <w:rsid w:val="3EC077E9"/>
    <w:rsid w:val="3EC25F89"/>
    <w:rsid w:val="3EC63301"/>
    <w:rsid w:val="3ECA003B"/>
    <w:rsid w:val="3ECB1780"/>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1C0717"/>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E0493"/>
    <w:rsid w:val="3F3F1578"/>
    <w:rsid w:val="3F413714"/>
    <w:rsid w:val="3F474FA5"/>
    <w:rsid w:val="3F484DDE"/>
    <w:rsid w:val="3F4919B8"/>
    <w:rsid w:val="3F4A7F61"/>
    <w:rsid w:val="3F4B487F"/>
    <w:rsid w:val="3F5323A7"/>
    <w:rsid w:val="3F575503"/>
    <w:rsid w:val="3F575CF6"/>
    <w:rsid w:val="3F577277"/>
    <w:rsid w:val="3F587691"/>
    <w:rsid w:val="3F5954A7"/>
    <w:rsid w:val="3F595A74"/>
    <w:rsid w:val="3F5E3729"/>
    <w:rsid w:val="3F5E58F4"/>
    <w:rsid w:val="3F6249EF"/>
    <w:rsid w:val="3F63308A"/>
    <w:rsid w:val="3F6A75F8"/>
    <w:rsid w:val="3F6D7287"/>
    <w:rsid w:val="3F6E46A4"/>
    <w:rsid w:val="3F70733E"/>
    <w:rsid w:val="3F72473B"/>
    <w:rsid w:val="3F744FC7"/>
    <w:rsid w:val="3F774216"/>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05BE"/>
    <w:rsid w:val="3FDC259C"/>
    <w:rsid w:val="3FDD33A6"/>
    <w:rsid w:val="3FDE58B3"/>
    <w:rsid w:val="3FE80B3E"/>
    <w:rsid w:val="3FE8448F"/>
    <w:rsid w:val="3FE86058"/>
    <w:rsid w:val="3FEB4FBA"/>
    <w:rsid w:val="3FED036C"/>
    <w:rsid w:val="3FEE16BD"/>
    <w:rsid w:val="3FF2578F"/>
    <w:rsid w:val="3FF25D84"/>
    <w:rsid w:val="3FF3291D"/>
    <w:rsid w:val="3FF35183"/>
    <w:rsid w:val="3FF3546E"/>
    <w:rsid w:val="3FF92CFF"/>
    <w:rsid w:val="3FFB7550"/>
    <w:rsid w:val="4003101B"/>
    <w:rsid w:val="40040E62"/>
    <w:rsid w:val="400411AB"/>
    <w:rsid w:val="4005652E"/>
    <w:rsid w:val="40076BCF"/>
    <w:rsid w:val="40090218"/>
    <w:rsid w:val="40097ED4"/>
    <w:rsid w:val="400B001F"/>
    <w:rsid w:val="400E4827"/>
    <w:rsid w:val="400F1A7E"/>
    <w:rsid w:val="4013650D"/>
    <w:rsid w:val="40161C34"/>
    <w:rsid w:val="40166C8D"/>
    <w:rsid w:val="40173E32"/>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12076"/>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61FFD"/>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9F0436"/>
    <w:rsid w:val="41A04B67"/>
    <w:rsid w:val="41A1397B"/>
    <w:rsid w:val="41A17B3E"/>
    <w:rsid w:val="41A4134F"/>
    <w:rsid w:val="41AB6E85"/>
    <w:rsid w:val="41AE7032"/>
    <w:rsid w:val="41AF65DD"/>
    <w:rsid w:val="41B03D72"/>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42EE1"/>
    <w:rsid w:val="423865E7"/>
    <w:rsid w:val="423A25B5"/>
    <w:rsid w:val="42497ED2"/>
    <w:rsid w:val="424A3927"/>
    <w:rsid w:val="424B485A"/>
    <w:rsid w:val="424E09CD"/>
    <w:rsid w:val="424E515B"/>
    <w:rsid w:val="42515E95"/>
    <w:rsid w:val="42516E40"/>
    <w:rsid w:val="4252760F"/>
    <w:rsid w:val="425668AD"/>
    <w:rsid w:val="42572196"/>
    <w:rsid w:val="42582F93"/>
    <w:rsid w:val="425A4600"/>
    <w:rsid w:val="4260713A"/>
    <w:rsid w:val="42607EA9"/>
    <w:rsid w:val="426455FD"/>
    <w:rsid w:val="4265286C"/>
    <w:rsid w:val="42690A0A"/>
    <w:rsid w:val="42690B24"/>
    <w:rsid w:val="426C1851"/>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618D"/>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01138"/>
    <w:rsid w:val="43733D13"/>
    <w:rsid w:val="43733E5C"/>
    <w:rsid w:val="4374621A"/>
    <w:rsid w:val="43757A94"/>
    <w:rsid w:val="43772AD7"/>
    <w:rsid w:val="43772BE4"/>
    <w:rsid w:val="4377334C"/>
    <w:rsid w:val="437B42D0"/>
    <w:rsid w:val="437E77AB"/>
    <w:rsid w:val="437F1B78"/>
    <w:rsid w:val="4382514B"/>
    <w:rsid w:val="43847352"/>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6BC4"/>
    <w:rsid w:val="43A0773A"/>
    <w:rsid w:val="43A218AD"/>
    <w:rsid w:val="43A30AD2"/>
    <w:rsid w:val="43A35347"/>
    <w:rsid w:val="43A5055C"/>
    <w:rsid w:val="43A84417"/>
    <w:rsid w:val="43A90117"/>
    <w:rsid w:val="43A95555"/>
    <w:rsid w:val="43A95FAF"/>
    <w:rsid w:val="43AA5E51"/>
    <w:rsid w:val="43B27F51"/>
    <w:rsid w:val="43BF04AF"/>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2F67A6"/>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A5898"/>
    <w:rsid w:val="446E2215"/>
    <w:rsid w:val="446E36E4"/>
    <w:rsid w:val="446F48BE"/>
    <w:rsid w:val="44730D26"/>
    <w:rsid w:val="4473698E"/>
    <w:rsid w:val="44762A9C"/>
    <w:rsid w:val="44792B7D"/>
    <w:rsid w:val="447A4229"/>
    <w:rsid w:val="447D13CB"/>
    <w:rsid w:val="44811DFB"/>
    <w:rsid w:val="4482469A"/>
    <w:rsid w:val="44834D76"/>
    <w:rsid w:val="448405E7"/>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4FF7030"/>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87946"/>
    <w:rsid w:val="45691AFB"/>
    <w:rsid w:val="456967CC"/>
    <w:rsid w:val="456B5AA5"/>
    <w:rsid w:val="456E2A10"/>
    <w:rsid w:val="456E2FF2"/>
    <w:rsid w:val="45724EA9"/>
    <w:rsid w:val="457344AB"/>
    <w:rsid w:val="45743CAB"/>
    <w:rsid w:val="45782AA8"/>
    <w:rsid w:val="4579584D"/>
    <w:rsid w:val="457D0F89"/>
    <w:rsid w:val="45845D00"/>
    <w:rsid w:val="45871AE5"/>
    <w:rsid w:val="45896527"/>
    <w:rsid w:val="458C06D4"/>
    <w:rsid w:val="458D5FA2"/>
    <w:rsid w:val="458E33E0"/>
    <w:rsid w:val="4590612D"/>
    <w:rsid w:val="45925F15"/>
    <w:rsid w:val="45951587"/>
    <w:rsid w:val="459709F5"/>
    <w:rsid w:val="45971871"/>
    <w:rsid w:val="45976947"/>
    <w:rsid w:val="459D649C"/>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20D1"/>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96300"/>
    <w:rsid w:val="46CC70D8"/>
    <w:rsid w:val="46CC74B6"/>
    <w:rsid w:val="46CC7F38"/>
    <w:rsid w:val="46CD4E36"/>
    <w:rsid w:val="46CF0DEB"/>
    <w:rsid w:val="46D4028D"/>
    <w:rsid w:val="46D40BC0"/>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1D6075"/>
    <w:rsid w:val="47215B1D"/>
    <w:rsid w:val="47235B2C"/>
    <w:rsid w:val="472434E1"/>
    <w:rsid w:val="472748E0"/>
    <w:rsid w:val="47274DE5"/>
    <w:rsid w:val="472B3A30"/>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42C61"/>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DF69B4"/>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CE1E02"/>
    <w:rsid w:val="48D06C71"/>
    <w:rsid w:val="48D12052"/>
    <w:rsid w:val="48D23681"/>
    <w:rsid w:val="48D3628A"/>
    <w:rsid w:val="48D47DD9"/>
    <w:rsid w:val="48D6646A"/>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96872"/>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801AD"/>
    <w:rsid w:val="49390A94"/>
    <w:rsid w:val="493B227F"/>
    <w:rsid w:val="493D13E1"/>
    <w:rsid w:val="49442B61"/>
    <w:rsid w:val="49445090"/>
    <w:rsid w:val="494574C2"/>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AC5F6D"/>
    <w:rsid w:val="49B20B48"/>
    <w:rsid w:val="49B55D27"/>
    <w:rsid w:val="49B721CB"/>
    <w:rsid w:val="49BE2B99"/>
    <w:rsid w:val="49C060D9"/>
    <w:rsid w:val="49C21D0B"/>
    <w:rsid w:val="49C67DAB"/>
    <w:rsid w:val="49CB523F"/>
    <w:rsid w:val="49CF2402"/>
    <w:rsid w:val="49D83A18"/>
    <w:rsid w:val="49D8668C"/>
    <w:rsid w:val="49DB3A45"/>
    <w:rsid w:val="49E012F6"/>
    <w:rsid w:val="49E170C1"/>
    <w:rsid w:val="49E73C0B"/>
    <w:rsid w:val="49E7486F"/>
    <w:rsid w:val="49E92B16"/>
    <w:rsid w:val="49EC1B26"/>
    <w:rsid w:val="49F449BE"/>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349F"/>
    <w:rsid w:val="4A417E42"/>
    <w:rsid w:val="4A4418E9"/>
    <w:rsid w:val="4A441AD6"/>
    <w:rsid w:val="4A454D21"/>
    <w:rsid w:val="4A504FD7"/>
    <w:rsid w:val="4A535B24"/>
    <w:rsid w:val="4A545D35"/>
    <w:rsid w:val="4A55194D"/>
    <w:rsid w:val="4A576731"/>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EE48E8"/>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16EC8"/>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3F2B00"/>
    <w:rsid w:val="4B417217"/>
    <w:rsid w:val="4B426FC8"/>
    <w:rsid w:val="4B4614E8"/>
    <w:rsid w:val="4B484B6F"/>
    <w:rsid w:val="4B4A1E20"/>
    <w:rsid w:val="4B4B77CC"/>
    <w:rsid w:val="4B4F2FCA"/>
    <w:rsid w:val="4B4F3F08"/>
    <w:rsid w:val="4B535221"/>
    <w:rsid w:val="4B585189"/>
    <w:rsid w:val="4B595225"/>
    <w:rsid w:val="4B5B261F"/>
    <w:rsid w:val="4B5B6D00"/>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D76F0"/>
    <w:rsid w:val="4B8F1479"/>
    <w:rsid w:val="4B8F2EB1"/>
    <w:rsid w:val="4B924EC9"/>
    <w:rsid w:val="4B927A06"/>
    <w:rsid w:val="4B9419F7"/>
    <w:rsid w:val="4B985B74"/>
    <w:rsid w:val="4B9B0E7F"/>
    <w:rsid w:val="4B9E2880"/>
    <w:rsid w:val="4BA14908"/>
    <w:rsid w:val="4BA15123"/>
    <w:rsid w:val="4BA7669E"/>
    <w:rsid w:val="4BA96810"/>
    <w:rsid w:val="4BAA3961"/>
    <w:rsid w:val="4BAC02EC"/>
    <w:rsid w:val="4BAD645F"/>
    <w:rsid w:val="4BAF24E2"/>
    <w:rsid w:val="4BAF7626"/>
    <w:rsid w:val="4BB75525"/>
    <w:rsid w:val="4BBA5A6C"/>
    <w:rsid w:val="4BBA7C68"/>
    <w:rsid w:val="4BBB171E"/>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B5A6C"/>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97B54"/>
    <w:rsid w:val="4CAA4204"/>
    <w:rsid w:val="4CAD1D03"/>
    <w:rsid w:val="4CB00B98"/>
    <w:rsid w:val="4CB77F7C"/>
    <w:rsid w:val="4CBB7157"/>
    <w:rsid w:val="4CBC0069"/>
    <w:rsid w:val="4CBE1FB4"/>
    <w:rsid w:val="4CBE4327"/>
    <w:rsid w:val="4CBF5365"/>
    <w:rsid w:val="4CBF7998"/>
    <w:rsid w:val="4CC0313C"/>
    <w:rsid w:val="4CC51A03"/>
    <w:rsid w:val="4CCD23D3"/>
    <w:rsid w:val="4CCF711C"/>
    <w:rsid w:val="4CD002C5"/>
    <w:rsid w:val="4CD10F14"/>
    <w:rsid w:val="4CD27501"/>
    <w:rsid w:val="4CD50CA4"/>
    <w:rsid w:val="4CD5641A"/>
    <w:rsid w:val="4CD652AC"/>
    <w:rsid w:val="4CD82D3B"/>
    <w:rsid w:val="4CDA3B23"/>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B3A72"/>
    <w:rsid w:val="4CFF26AB"/>
    <w:rsid w:val="4D0168EF"/>
    <w:rsid w:val="4D07047F"/>
    <w:rsid w:val="4D074256"/>
    <w:rsid w:val="4D0B4433"/>
    <w:rsid w:val="4D0F52FA"/>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0280A"/>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97710"/>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650C8"/>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CE1EB5"/>
    <w:rsid w:val="4DD0202B"/>
    <w:rsid w:val="4DD26A39"/>
    <w:rsid w:val="4DDB6B69"/>
    <w:rsid w:val="4DDB6DEF"/>
    <w:rsid w:val="4DDE609A"/>
    <w:rsid w:val="4DE100E7"/>
    <w:rsid w:val="4DE33966"/>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2C444D"/>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65541"/>
    <w:rsid w:val="4E584820"/>
    <w:rsid w:val="4E587191"/>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AF00F8"/>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23F95"/>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43B05"/>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219F"/>
    <w:rsid w:val="501442ED"/>
    <w:rsid w:val="501555F2"/>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37D8"/>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2815"/>
    <w:rsid w:val="51075A5B"/>
    <w:rsid w:val="51094799"/>
    <w:rsid w:val="510B3924"/>
    <w:rsid w:val="510E7722"/>
    <w:rsid w:val="51105275"/>
    <w:rsid w:val="51116F6C"/>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4E1F"/>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51B9C"/>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AE57A7"/>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2F4B31"/>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10230"/>
    <w:rsid w:val="53450CAD"/>
    <w:rsid w:val="534531B7"/>
    <w:rsid w:val="53456AB3"/>
    <w:rsid w:val="534718C6"/>
    <w:rsid w:val="53496F02"/>
    <w:rsid w:val="534D106F"/>
    <w:rsid w:val="534F4759"/>
    <w:rsid w:val="5350785D"/>
    <w:rsid w:val="535136AE"/>
    <w:rsid w:val="535438C1"/>
    <w:rsid w:val="53547C42"/>
    <w:rsid w:val="53553694"/>
    <w:rsid w:val="535617EA"/>
    <w:rsid w:val="535B4844"/>
    <w:rsid w:val="535F74CA"/>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C7248"/>
    <w:rsid w:val="538E039B"/>
    <w:rsid w:val="538E1B8B"/>
    <w:rsid w:val="538E4601"/>
    <w:rsid w:val="539058A9"/>
    <w:rsid w:val="53916407"/>
    <w:rsid w:val="539233FC"/>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A2BC9"/>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07E0"/>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63583"/>
    <w:rsid w:val="541777A3"/>
    <w:rsid w:val="541A6486"/>
    <w:rsid w:val="541B31F9"/>
    <w:rsid w:val="541C194E"/>
    <w:rsid w:val="541D180D"/>
    <w:rsid w:val="541F6FE8"/>
    <w:rsid w:val="54216091"/>
    <w:rsid w:val="54247E64"/>
    <w:rsid w:val="54251CB7"/>
    <w:rsid w:val="54287B8E"/>
    <w:rsid w:val="542919B1"/>
    <w:rsid w:val="542D6B57"/>
    <w:rsid w:val="543273D1"/>
    <w:rsid w:val="54332FCB"/>
    <w:rsid w:val="54340116"/>
    <w:rsid w:val="543503AB"/>
    <w:rsid w:val="54362EE9"/>
    <w:rsid w:val="54372B10"/>
    <w:rsid w:val="543A6EC7"/>
    <w:rsid w:val="543C5229"/>
    <w:rsid w:val="54406295"/>
    <w:rsid w:val="54412BF0"/>
    <w:rsid w:val="54422EDA"/>
    <w:rsid w:val="544417C9"/>
    <w:rsid w:val="54475EA1"/>
    <w:rsid w:val="54491564"/>
    <w:rsid w:val="54514458"/>
    <w:rsid w:val="54564266"/>
    <w:rsid w:val="545A1D0B"/>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65FDA"/>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2686F"/>
    <w:rsid w:val="55A35F7F"/>
    <w:rsid w:val="55A56962"/>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03AC4"/>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35BF0"/>
    <w:rsid w:val="5635337A"/>
    <w:rsid w:val="563777C9"/>
    <w:rsid w:val="5639222C"/>
    <w:rsid w:val="563B1048"/>
    <w:rsid w:val="563B6B45"/>
    <w:rsid w:val="564446A3"/>
    <w:rsid w:val="564956BB"/>
    <w:rsid w:val="5649734E"/>
    <w:rsid w:val="564E3688"/>
    <w:rsid w:val="56514294"/>
    <w:rsid w:val="5653419D"/>
    <w:rsid w:val="5654476A"/>
    <w:rsid w:val="565619E7"/>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86F71"/>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C5F32"/>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2006"/>
    <w:rsid w:val="576E7D00"/>
    <w:rsid w:val="57714C0A"/>
    <w:rsid w:val="57722F85"/>
    <w:rsid w:val="57723BA0"/>
    <w:rsid w:val="57725A92"/>
    <w:rsid w:val="57726645"/>
    <w:rsid w:val="577269D1"/>
    <w:rsid w:val="577777F6"/>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250E2"/>
    <w:rsid w:val="57A31556"/>
    <w:rsid w:val="57A83EEE"/>
    <w:rsid w:val="57A91D3B"/>
    <w:rsid w:val="57AD63CA"/>
    <w:rsid w:val="57B12D5D"/>
    <w:rsid w:val="57B30E06"/>
    <w:rsid w:val="57B55AA5"/>
    <w:rsid w:val="57B92D87"/>
    <w:rsid w:val="57B936FA"/>
    <w:rsid w:val="57BB0DFB"/>
    <w:rsid w:val="57BF4BA2"/>
    <w:rsid w:val="57C0641D"/>
    <w:rsid w:val="57C12479"/>
    <w:rsid w:val="57C302C5"/>
    <w:rsid w:val="57C31A8B"/>
    <w:rsid w:val="57C60929"/>
    <w:rsid w:val="57C648C9"/>
    <w:rsid w:val="57C931DC"/>
    <w:rsid w:val="57D20BE2"/>
    <w:rsid w:val="57D35A44"/>
    <w:rsid w:val="57D4431C"/>
    <w:rsid w:val="57D45D9A"/>
    <w:rsid w:val="57D5434D"/>
    <w:rsid w:val="57DB4AB3"/>
    <w:rsid w:val="57DC551A"/>
    <w:rsid w:val="57E36625"/>
    <w:rsid w:val="57E869F5"/>
    <w:rsid w:val="57E91CCB"/>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2D4F9F"/>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57B3C"/>
    <w:rsid w:val="58576CF0"/>
    <w:rsid w:val="58577099"/>
    <w:rsid w:val="58586901"/>
    <w:rsid w:val="586019DF"/>
    <w:rsid w:val="586250A0"/>
    <w:rsid w:val="58650C5B"/>
    <w:rsid w:val="5868260B"/>
    <w:rsid w:val="58691A05"/>
    <w:rsid w:val="586F5C86"/>
    <w:rsid w:val="5872241A"/>
    <w:rsid w:val="58744E3C"/>
    <w:rsid w:val="587527DD"/>
    <w:rsid w:val="587E75C9"/>
    <w:rsid w:val="587F05FE"/>
    <w:rsid w:val="587F294D"/>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4392E"/>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97525"/>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773EE"/>
    <w:rsid w:val="59384413"/>
    <w:rsid w:val="5939083A"/>
    <w:rsid w:val="59390936"/>
    <w:rsid w:val="59391116"/>
    <w:rsid w:val="593A5D4C"/>
    <w:rsid w:val="593C155F"/>
    <w:rsid w:val="593C68CA"/>
    <w:rsid w:val="593E5CCE"/>
    <w:rsid w:val="59401D39"/>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5264"/>
    <w:rsid w:val="598076AB"/>
    <w:rsid w:val="59834D09"/>
    <w:rsid w:val="5983545D"/>
    <w:rsid w:val="59842F93"/>
    <w:rsid w:val="5985694B"/>
    <w:rsid w:val="59887BB7"/>
    <w:rsid w:val="5989679E"/>
    <w:rsid w:val="598A376B"/>
    <w:rsid w:val="598C4920"/>
    <w:rsid w:val="598C50BA"/>
    <w:rsid w:val="598D639E"/>
    <w:rsid w:val="598E22C4"/>
    <w:rsid w:val="598E55A6"/>
    <w:rsid w:val="598F1E9B"/>
    <w:rsid w:val="598F2DB5"/>
    <w:rsid w:val="598F76CF"/>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57073"/>
    <w:rsid w:val="59B63DB2"/>
    <w:rsid w:val="59B6573E"/>
    <w:rsid w:val="59BA6C73"/>
    <w:rsid w:val="59BA7984"/>
    <w:rsid w:val="59BC3C55"/>
    <w:rsid w:val="59BD19E8"/>
    <w:rsid w:val="59BD64D4"/>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2F3F"/>
    <w:rsid w:val="5A067671"/>
    <w:rsid w:val="5A09550A"/>
    <w:rsid w:val="5A0A1F2D"/>
    <w:rsid w:val="5A0C21D7"/>
    <w:rsid w:val="5A0D47C0"/>
    <w:rsid w:val="5A0D4D2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C3419"/>
    <w:rsid w:val="5A3E5804"/>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63510"/>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B7699"/>
    <w:rsid w:val="5A8F3D71"/>
    <w:rsid w:val="5A981732"/>
    <w:rsid w:val="5A9A2668"/>
    <w:rsid w:val="5A9A35A0"/>
    <w:rsid w:val="5A9B5983"/>
    <w:rsid w:val="5A9B7486"/>
    <w:rsid w:val="5A9D5626"/>
    <w:rsid w:val="5A9E0D62"/>
    <w:rsid w:val="5A9E6A90"/>
    <w:rsid w:val="5A9E6CE7"/>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4E455A"/>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C689E"/>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9513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B6B66"/>
    <w:rsid w:val="5C3E5639"/>
    <w:rsid w:val="5C3E73FE"/>
    <w:rsid w:val="5C4302AF"/>
    <w:rsid w:val="5C430DAA"/>
    <w:rsid w:val="5C463F6A"/>
    <w:rsid w:val="5C496E06"/>
    <w:rsid w:val="5C497C75"/>
    <w:rsid w:val="5C4B1876"/>
    <w:rsid w:val="5C501594"/>
    <w:rsid w:val="5C522BE4"/>
    <w:rsid w:val="5C536E44"/>
    <w:rsid w:val="5C55021A"/>
    <w:rsid w:val="5C571A41"/>
    <w:rsid w:val="5C573516"/>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316C4"/>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276BE"/>
    <w:rsid w:val="5D1315D5"/>
    <w:rsid w:val="5D160D7C"/>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73125"/>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AF6D67"/>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81B20"/>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95A13"/>
    <w:rsid w:val="5E3C1695"/>
    <w:rsid w:val="5E3F0E9E"/>
    <w:rsid w:val="5E404195"/>
    <w:rsid w:val="5E407912"/>
    <w:rsid w:val="5E433B05"/>
    <w:rsid w:val="5E48569D"/>
    <w:rsid w:val="5E49141B"/>
    <w:rsid w:val="5E4B57BE"/>
    <w:rsid w:val="5E4C6DAD"/>
    <w:rsid w:val="5E4D475B"/>
    <w:rsid w:val="5E511FF2"/>
    <w:rsid w:val="5E554853"/>
    <w:rsid w:val="5E567FDB"/>
    <w:rsid w:val="5E585064"/>
    <w:rsid w:val="5E5B2D24"/>
    <w:rsid w:val="5E5E337E"/>
    <w:rsid w:val="5E610076"/>
    <w:rsid w:val="5E6177B3"/>
    <w:rsid w:val="5E623C9A"/>
    <w:rsid w:val="5E626FF2"/>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4106"/>
    <w:rsid w:val="5EC25F00"/>
    <w:rsid w:val="5EC31E07"/>
    <w:rsid w:val="5EC47E53"/>
    <w:rsid w:val="5EC50363"/>
    <w:rsid w:val="5EC5413A"/>
    <w:rsid w:val="5EC613C7"/>
    <w:rsid w:val="5EC700AE"/>
    <w:rsid w:val="5EC74CCA"/>
    <w:rsid w:val="5ECD06AE"/>
    <w:rsid w:val="5ECE0C99"/>
    <w:rsid w:val="5ECE1B70"/>
    <w:rsid w:val="5ECE3EFF"/>
    <w:rsid w:val="5ED01BB4"/>
    <w:rsid w:val="5ED27A84"/>
    <w:rsid w:val="5ED434D2"/>
    <w:rsid w:val="5ED650D9"/>
    <w:rsid w:val="5ED75DC6"/>
    <w:rsid w:val="5EDA017A"/>
    <w:rsid w:val="5EDA5D9B"/>
    <w:rsid w:val="5EDE0371"/>
    <w:rsid w:val="5EDE1DC8"/>
    <w:rsid w:val="5EE14524"/>
    <w:rsid w:val="5EE277CE"/>
    <w:rsid w:val="5EE37203"/>
    <w:rsid w:val="5EE638D8"/>
    <w:rsid w:val="5EE87FA9"/>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8F56C8"/>
    <w:rsid w:val="5F997C2D"/>
    <w:rsid w:val="5F9A2BA6"/>
    <w:rsid w:val="5F9A3324"/>
    <w:rsid w:val="5F9B3CED"/>
    <w:rsid w:val="5F9D7FB1"/>
    <w:rsid w:val="5FA2777D"/>
    <w:rsid w:val="5FA55820"/>
    <w:rsid w:val="5FA948D4"/>
    <w:rsid w:val="5FAD53D3"/>
    <w:rsid w:val="5FB11875"/>
    <w:rsid w:val="5FB35250"/>
    <w:rsid w:val="5FB372F0"/>
    <w:rsid w:val="5FB65223"/>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E77BB"/>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C71A6"/>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95D8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85EAC"/>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213E"/>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DF3A9F"/>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607AE"/>
    <w:rsid w:val="62097951"/>
    <w:rsid w:val="620A1BF6"/>
    <w:rsid w:val="620D54F0"/>
    <w:rsid w:val="620E7442"/>
    <w:rsid w:val="62186D69"/>
    <w:rsid w:val="621E0CA8"/>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6592E"/>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0BD0"/>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B7987"/>
    <w:rsid w:val="62AC5F9D"/>
    <w:rsid w:val="62AF6D6D"/>
    <w:rsid w:val="62B06E1E"/>
    <w:rsid w:val="62B15C7E"/>
    <w:rsid w:val="62B315FF"/>
    <w:rsid w:val="62B3579A"/>
    <w:rsid w:val="62B43E2D"/>
    <w:rsid w:val="62B80164"/>
    <w:rsid w:val="62B86FA9"/>
    <w:rsid w:val="62B9410F"/>
    <w:rsid w:val="62BA6471"/>
    <w:rsid w:val="62BC3E88"/>
    <w:rsid w:val="62BC4F31"/>
    <w:rsid w:val="62C002AA"/>
    <w:rsid w:val="62C123C8"/>
    <w:rsid w:val="62C1628B"/>
    <w:rsid w:val="62C3598C"/>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97039"/>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80FC1"/>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B0722"/>
    <w:rsid w:val="63EF406A"/>
    <w:rsid w:val="63EF450A"/>
    <w:rsid w:val="63F015FE"/>
    <w:rsid w:val="63F25DA5"/>
    <w:rsid w:val="63F950E2"/>
    <w:rsid w:val="63FE35EE"/>
    <w:rsid w:val="64080F2B"/>
    <w:rsid w:val="64083E4E"/>
    <w:rsid w:val="6408414F"/>
    <w:rsid w:val="64097026"/>
    <w:rsid w:val="640A4171"/>
    <w:rsid w:val="640C5C73"/>
    <w:rsid w:val="640E6446"/>
    <w:rsid w:val="640F5F87"/>
    <w:rsid w:val="641062DE"/>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364F2"/>
    <w:rsid w:val="6435158C"/>
    <w:rsid w:val="64361A2B"/>
    <w:rsid w:val="643979AA"/>
    <w:rsid w:val="643B7181"/>
    <w:rsid w:val="643E73D7"/>
    <w:rsid w:val="643F2D0D"/>
    <w:rsid w:val="64462AD4"/>
    <w:rsid w:val="6446674C"/>
    <w:rsid w:val="64477E7E"/>
    <w:rsid w:val="64493EB7"/>
    <w:rsid w:val="644C64F7"/>
    <w:rsid w:val="644D3DD1"/>
    <w:rsid w:val="644E7565"/>
    <w:rsid w:val="64500B1C"/>
    <w:rsid w:val="64505478"/>
    <w:rsid w:val="64532501"/>
    <w:rsid w:val="645669BC"/>
    <w:rsid w:val="64573736"/>
    <w:rsid w:val="64595EAC"/>
    <w:rsid w:val="645F50BB"/>
    <w:rsid w:val="646266D4"/>
    <w:rsid w:val="64633E02"/>
    <w:rsid w:val="64644BD2"/>
    <w:rsid w:val="64655408"/>
    <w:rsid w:val="64666FE0"/>
    <w:rsid w:val="646905B9"/>
    <w:rsid w:val="646A4255"/>
    <w:rsid w:val="646C600B"/>
    <w:rsid w:val="64713B8F"/>
    <w:rsid w:val="647215F8"/>
    <w:rsid w:val="64733A5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A23"/>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5F0592"/>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76E3D"/>
    <w:rsid w:val="65E94987"/>
    <w:rsid w:val="65EB61D4"/>
    <w:rsid w:val="65EF690E"/>
    <w:rsid w:val="65F04330"/>
    <w:rsid w:val="65F20F15"/>
    <w:rsid w:val="65F3399F"/>
    <w:rsid w:val="65F3675D"/>
    <w:rsid w:val="65F618D7"/>
    <w:rsid w:val="65FB2DBA"/>
    <w:rsid w:val="65FD216C"/>
    <w:rsid w:val="65FD7CB0"/>
    <w:rsid w:val="65FE7DD6"/>
    <w:rsid w:val="65FF22E5"/>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762F5"/>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A5DC6"/>
    <w:rsid w:val="66EB12C4"/>
    <w:rsid w:val="66EF4BAE"/>
    <w:rsid w:val="66F14286"/>
    <w:rsid w:val="66F43AE9"/>
    <w:rsid w:val="66F47B55"/>
    <w:rsid w:val="66FD3BFA"/>
    <w:rsid w:val="66FF75FB"/>
    <w:rsid w:val="67025BC3"/>
    <w:rsid w:val="67046F82"/>
    <w:rsid w:val="6707649E"/>
    <w:rsid w:val="6707719F"/>
    <w:rsid w:val="67097AAA"/>
    <w:rsid w:val="670B151E"/>
    <w:rsid w:val="670D0CD4"/>
    <w:rsid w:val="670D1B71"/>
    <w:rsid w:val="67100251"/>
    <w:rsid w:val="671553CC"/>
    <w:rsid w:val="67185503"/>
    <w:rsid w:val="671962B5"/>
    <w:rsid w:val="671A0DE7"/>
    <w:rsid w:val="671D4475"/>
    <w:rsid w:val="671F23D0"/>
    <w:rsid w:val="672149C6"/>
    <w:rsid w:val="67217E3E"/>
    <w:rsid w:val="67281EC7"/>
    <w:rsid w:val="672920F2"/>
    <w:rsid w:val="672A0608"/>
    <w:rsid w:val="672D7681"/>
    <w:rsid w:val="6730014F"/>
    <w:rsid w:val="6730372A"/>
    <w:rsid w:val="67344028"/>
    <w:rsid w:val="67356ADF"/>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3DB3"/>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5E94"/>
    <w:rsid w:val="678768E9"/>
    <w:rsid w:val="6787737A"/>
    <w:rsid w:val="67881E92"/>
    <w:rsid w:val="678B243A"/>
    <w:rsid w:val="678C2F41"/>
    <w:rsid w:val="67906049"/>
    <w:rsid w:val="67997FFC"/>
    <w:rsid w:val="679B4BE7"/>
    <w:rsid w:val="67A275F3"/>
    <w:rsid w:val="67B0143C"/>
    <w:rsid w:val="67B101FC"/>
    <w:rsid w:val="67B12426"/>
    <w:rsid w:val="67B270D1"/>
    <w:rsid w:val="67B33DF3"/>
    <w:rsid w:val="67B8602B"/>
    <w:rsid w:val="67BA7988"/>
    <w:rsid w:val="67BC3207"/>
    <w:rsid w:val="67BC4F46"/>
    <w:rsid w:val="67BD009C"/>
    <w:rsid w:val="67BD05D7"/>
    <w:rsid w:val="67BD0AFF"/>
    <w:rsid w:val="67BD733C"/>
    <w:rsid w:val="67BF3609"/>
    <w:rsid w:val="67C00B00"/>
    <w:rsid w:val="67C71D7A"/>
    <w:rsid w:val="67C80310"/>
    <w:rsid w:val="67CF2517"/>
    <w:rsid w:val="67CF3A50"/>
    <w:rsid w:val="67D03558"/>
    <w:rsid w:val="67D042D7"/>
    <w:rsid w:val="67D0475F"/>
    <w:rsid w:val="67D07FE2"/>
    <w:rsid w:val="67D121E0"/>
    <w:rsid w:val="67D1229B"/>
    <w:rsid w:val="67D30629"/>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1F3441"/>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D26F7"/>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34E5F"/>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EC7FB1"/>
    <w:rsid w:val="68F01EB8"/>
    <w:rsid w:val="68F3092C"/>
    <w:rsid w:val="68F76E9E"/>
    <w:rsid w:val="68F91985"/>
    <w:rsid w:val="68FB1295"/>
    <w:rsid w:val="68FB26ED"/>
    <w:rsid w:val="68FE51D1"/>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B6F9A"/>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C7769"/>
    <w:rsid w:val="695F3F72"/>
    <w:rsid w:val="69602C95"/>
    <w:rsid w:val="6961430F"/>
    <w:rsid w:val="69624E8F"/>
    <w:rsid w:val="69637697"/>
    <w:rsid w:val="69677D54"/>
    <w:rsid w:val="696E12C4"/>
    <w:rsid w:val="696E36F1"/>
    <w:rsid w:val="696E564D"/>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306AC"/>
    <w:rsid w:val="69D5474D"/>
    <w:rsid w:val="69D5639D"/>
    <w:rsid w:val="69D64B50"/>
    <w:rsid w:val="69D87485"/>
    <w:rsid w:val="69D91D9E"/>
    <w:rsid w:val="69D9615A"/>
    <w:rsid w:val="69DA312F"/>
    <w:rsid w:val="69DA7ECD"/>
    <w:rsid w:val="69DB1C7B"/>
    <w:rsid w:val="69DB51C3"/>
    <w:rsid w:val="69DD5DEA"/>
    <w:rsid w:val="69DE6A3D"/>
    <w:rsid w:val="69DF1A84"/>
    <w:rsid w:val="69E676CD"/>
    <w:rsid w:val="69E74BA2"/>
    <w:rsid w:val="69E96D68"/>
    <w:rsid w:val="69EE1071"/>
    <w:rsid w:val="69EF4759"/>
    <w:rsid w:val="69F2148A"/>
    <w:rsid w:val="69F86274"/>
    <w:rsid w:val="69F93223"/>
    <w:rsid w:val="69FF1B34"/>
    <w:rsid w:val="6A000277"/>
    <w:rsid w:val="6A006BAA"/>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1FD7"/>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352E6"/>
    <w:rsid w:val="6A8433D2"/>
    <w:rsid w:val="6A863926"/>
    <w:rsid w:val="6A877233"/>
    <w:rsid w:val="6A882ECD"/>
    <w:rsid w:val="6A894FAF"/>
    <w:rsid w:val="6A8A320F"/>
    <w:rsid w:val="6A8A6068"/>
    <w:rsid w:val="6A8C5C1D"/>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2B4E"/>
    <w:rsid w:val="6AD159F7"/>
    <w:rsid w:val="6AD205CA"/>
    <w:rsid w:val="6AD25D01"/>
    <w:rsid w:val="6AD327DD"/>
    <w:rsid w:val="6AD61295"/>
    <w:rsid w:val="6ADC0893"/>
    <w:rsid w:val="6AE1028F"/>
    <w:rsid w:val="6AE64F06"/>
    <w:rsid w:val="6AEA4EC7"/>
    <w:rsid w:val="6AED0011"/>
    <w:rsid w:val="6AF10D33"/>
    <w:rsid w:val="6AF41EEA"/>
    <w:rsid w:val="6AF616E5"/>
    <w:rsid w:val="6AF757D9"/>
    <w:rsid w:val="6AF84026"/>
    <w:rsid w:val="6AFB07C6"/>
    <w:rsid w:val="6AFE38E3"/>
    <w:rsid w:val="6B024E67"/>
    <w:rsid w:val="6B0700FD"/>
    <w:rsid w:val="6B0C3251"/>
    <w:rsid w:val="6B0D7E95"/>
    <w:rsid w:val="6B192F03"/>
    <w:rsid w:val="6B1C22C1"/>
    <w:rsid w:val="6B241E45"/>
    <w:rsid w:val="6B24362E"/>
    <w:rsid w:val="6B253075"/>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1671"/>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5696C"/>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35E8E"/>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39DE"/>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10C2"/>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C16A8"/>
    <w:rsid w:val="6D2D1778"/>
    <w:rsid w:val="6D2E4BAB"/>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5F3840"/>
    <w:rsid w:val="6D6025EF"/>
    <w:rsid w:val="6D616609"/>
    <w:rsid w:val="6D62494E"/>
    <w:rsid w:val="6D646F62"/>
    <w:rsid w:val="6D653707"/>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E174D"/>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85491"/>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1673D"/>
    <w:rsid w:val="6E255143"/>
    <w:rsid w:val="6E262C4C"/>
    <w:rsid w:val="6E2703E9"/>
    <w:rsid w:val="6E2B2D7D"/>
    <w:rsid w:val="6E2B7861"/>
    <w:rsid w:val="6E2D5DD3"/>
    <w:rsid w:val="6E2F1A84"/>
    <w:rsid w:val="6E3531DF"/>
    <w:rsid w:val="6E355C99"/>
    <w:rsid w:val="6E39484D"/>
    <w:rsid w:val="6E3D153A"/>
    <w:rsid w:val="6E3D457A"/>
    <w:rsid w:val="6E3F3546"/>
    <w:rsid w:val="6E4062BB"/>
    <w:rsid w:val="6E42444B"/>
    <w:rsid w:val="6E456023"/>
    <w:rsid w:val="6E457BF6"/>
    <w:rsid w:val="6E4629D1"/>
    <w:rsid w:val="6E46551E"/>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A0DE9"/>
    <w:rsid w:val="6E9E3D1E"/>
    <w:rsid w:val="6EA06D93"/>
    <w:rsid w:val="6EA1250E"/>
    <w:rsid w:val="6EA265AD"/>
    <w:rsid w:val="6EAB3002"/>
    <w:rsid w:val="6EAC2515"/>
    <w:rsid w:val="6EAE21D1"/>
    <w:rsid w:val="6EB10C80"/>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77ED4"/>
    <w:rsid w:val="6F1A4757"/>
    <w:rsid w:val="6F1B21D8"/>
    <w:rsid w:val="6F1C0B8B"/>
    <w:rsid w:val="6F1E13B7"/>
    <w:rsid w:val="6F1F003D"/>
    <w:rsid w:val="6F2246AE"/>
    <w:rsid w:val="6F235712"/>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2797F"/>
    <w:rsid w:val="6F5334ED"/>
    <w:rsid w:val="6F552A1B"/>
    <w:rsid w:val="6F584BF4"/>
    <w:rsid w:val="6F5B5A82"/>
    <w:rsid w:val="6F5B5ECB"/>
    <w:rsid w:val="6F5C2A9E"/>
    <w:rsid w:val="6F5C2CD0"/>
    <w:rsid w:val="6F5C5ACA"/>
    <w:rsid w:val="6F5D0749"/>
    <w:rsid w:val="6F5E1C44"/>
    <w:rsid w:val="6F602211"/>
    <w:rsid w:val="6F614953"/>
    <w:rsid w:val="6F653FA5"/>
    <w:rsid w:val="6F66178C"/>
    <w:rsid w:val="6F6728D3"/>
    <w:rsid w:val="6F6C545A"/>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4F641E"/>
    <w:rsid w:val="70507F66"/>
    <w:rsid w:val="70513178"/>
    <w:rsid w:val="70572E91"/>
    <w:rsid w:val="7060303C"/>
    <w:rsid w:val="70654A23"/>
    <w:rsid w:val="70667224"/>
    <w:rsid w:val="706865F7"/>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3D425B"/>
    <w:rsid w:val="71436CDB"/>
    <w:rsid w:val="71452CBD"/>
    <w:rsid w:val="7146356F"/>
    <w:rsid w:val="71463FC2"/>
    <w:rsid w:val="71472EFE"/>
    <w:rsid w:val="7148016B"/>
    <w:rsid w:val="714A084D"/>
    <w:rsid w:val="714A18E0"/>
    <w:rsid w:val="714B217D"/>
    <w:rsid w:val="714C2B1B"/>
    <w:rsid w:val="714D28A3"/>
    <w:rsid w:val="714D78D3"/>
    <w:rsid w:val="71503CE7"/>
    <w:rsid w:val="715352E7"/>
    <w:rsid w:val="71536C22"/>
    <w:rsid w:val="7153723D"/>
    <w:rsid w:val="71565886"/>
    <w:rsid w:val="71567F32"/>
    <w:rsid w:val="715A2207"/>
    <w:rsid w:val="715D148D"/>
    <w:rsid w:val="715E00B3"/>
    <w:rsid w:val="716047D0"/>
    <w:rsid w:val="71615267"/>
    <w:rsid w:val="71623739"/>
    <w:rsid w:val="716242AB"/>
    <w:rsid w:val="71636AE4"/>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6D30"/>
    <w:rsid w:val="71D47B54"/>
    <w:rsid w:val="71D52F5F"/>
    <w:rsid w:val="71D72B54"/>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3B7CA6"/>
    <w:rsid w:val="72414ABB"/>
    <w:rsid w:val="7243407C"/>
    <w:rsid w:val="72440F1E"/>
    <w:rsid w:val="72465B88"/>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5051F"/>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57B9F"/>
    <w:rsid w:val="72D97928"/>
    <w:rsid w:val="72E34F8F"/>
    <w:rsid w:val="72E92EA0"/>
    <w:rsid w:val="72EB4117"/>
    <w:rsid w:val="72EF2C87"/>
    <w:rsid w:val="72F31AE3"/>
    <w:rsid w:val="72F32BA1"/>
    <w:rsid w:val="72F457C3"/>
    <w:rsid w:val="72F81755"/>
    <w:rsid w:val="72FB27FC"/>
    <w:rsid w:val="72FB78A7"/>
    <w:rsid w:val="72FF708E"/>
    <w:rsid w:val="730056D1"/>
    <w:rsid w:val="7301142D"/>
    <w:rsid w:val="7301303C"/>
    <w:rsid w:val="73024E04"/>
    <w:rsid w:val="73054CC1"/>
    <w:rsid w:val="730B0185"/>
    <w:rsid w:val="730B2912"/>
    <w:rsid w:val="730C0128"/>
    <w:rsid w:val="73117F42"/>
    <w:rsid w:val="73144954"/>
    <w:rsid w:val="731666BA"/>
    <w:rsid w:val="73166B31"/>
    <w:rsid w:val="73191FD7"/>
    <w:rsid w:val="731A08E9"/>
    <w:rsid w:val="731A76E0"/>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20F0D"/>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9C256C"/>
    <w:rsid w:val="739C4109"/>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622E5"/>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A1D39"/>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55C6B"/>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537C1"/>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36737"/>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6C7E58"/>
    <w:rsid w:val="76710E80"/>
    <w:rsid w:val="76721D4F"/>
    <w:rsid w:val="76755C2C"/>
    <w:rsid w:val="76764058"/>
    <w:rsid w:val="76771A07"/>
    <w:rsid w:val="767A3346"/>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CB62F1"/>
    <w:rsid w:val="76D03D47"/>
    <w:rsid w:val="76D3508F"/>
    <w:rsid w:val="76D364A5"/>
    <w:rsid w:val="76D723E3"/>
    <w:rsid w:val="76D84D57"/>
    <w:rsid w:val="76DB0904"/>
    <w:rsid w:val="76DB3BA3"/>
    <w:rsid w:val="76DC0FA8"/>
    <w:rsid w:val="76DC205E"/>
    <w:rsid w:val="76DC5352"/>
    <w:rsid w:val="76DD1650"/>
    <w:rsid w:val="76E02C24"/>
    <w:rsid w:val="76E34A56"/>
    <w:rsid w:val="76E56D71"/>
    <w:rsid w:val="76E6140A"/>
    <w:rsid w:val="76E9546C"/>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305"/>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27A7C"/>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A6CDC"/>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9E111C"/>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55644"/>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1E1D54"/>
    <w:rsid w:val="78213084"/>
    <w:rsid w:val="78213648"/>
    <w:rsid w:val="7827005C"/>
    <w:rsid w:val="78280CF1"/>
    <w:rsid w:val="78287DBF"/>
    <w:rsid w:val="78291AB0"/>
    <w:rsid w:val="78294ED1"/>
    <w:rsid w:val="782C38CF"/>
    <w:rsid w:val="782D43D1"/>
    <w:rsid w:val="782E39BA"/>
    <w:rsid w:val="78305726"/>
    <w:rsid w:val="78305E38"/>
    <w:rsid w:val="783328A6"/>
    <w:rsid w:val="78373AA7"/>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7C64BA"/>
    <w:rsid w:val="78842FF3"/>
    <w:rsid w:val="78852221"/>
    <w:rsid w:val="78874C08"/>
    <w:rsid w:val="7888534D"/>
    <w:rsid w:val="78887FFF"/>
    <w:rsid w:val="7889168E"/>
    <w:rsid w:val="788B193B"/>
    <w:rsid w:val="78907887"/>
    <w:rsid w:val="78932A56"/>
    <w:rsid w:val="78957160"/>
    <w:rsid w:val="7897387D"/>
    <w:rsid w:val="78996993"/>
    <w:rsid w:val="7899775B"/>
    <w:rsid w:val="789A0AEB"/>
    <w:rsid w:val="789B6877"/>
    <w:rsid w:val="789E6098"/>
    <w:rsid w:val="789F52B1"/>
    <w:rsid w:val="78A154A4"/>
    <w:rsid w:val="78A36064"/>
    <w:rsid w:val="78A51E01"/>
    <w:rsid w:val="78A5296E"/>
    <w:rsid w:val="78A5769C"/>
    <w:rsid w:val="78A94085"/>
    <w:rsid w:val="78AA7E6E"/>
    <w:rsid w:val="78B00A90"/>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A6370"/>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56236"/>
    <w:rsid w:val="79161CA5"/>
    <w:rsid w:val="791A1443"/>
    <w:rsid w:val="791A4AA2"/>
    <w:rsid w:val="791C6390"/>
    <w:rsid w:val="791D3D69"/>
    <w:rsid w:val="791E56E4"/>
    <w:rsid w:val="79204284"/>
    <w:rsid w:val="79205F77"/>
    <w:rsid w:val="7922368F"/>
    <w:rsid w:val="792551A3"/>
    <w:rsid w:val="792B64AC"/>
    <w:rsid w:val="792F0F95"/>
    <w:rsid w:val="79312D2A"/>
    <w:rsid w:val="79331259"/>
    <w:rsid w:val="793706B9"/>
    <w:rsid w:val="79376731"/>
    <w:rsid w:val="7938329D"/>
    <w:rsid w:val="79384117"/>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11DE5"/>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73D60"/>
    <w:rsid w:val="7A387FFB"/>
    <w:rsid w:val="7A39689B"/>
    <w:rsid w:val="7A3E47B4"/>
    <w:rsid w:val="7A3F1642"/>
    <w:rsid w:val="7A4B7D2F"/>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01D3"/>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84E25"/>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344E9"/>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6E5B6C"/>
    <w:rsid w:val="7B727CDB"/>
    <w:rsid w:val="7B746B64"/>
    <w:rsid w:val="7B7501AD"/>
    <w:rsid w:val="7B78034A"/>
    <w:rsid w:val="7B7D005D"/>
    <w:rsid w:val="7B7D2AC5"/>
    <w:rsid w:val="7B882819"/>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3847"/>
    <w:rsid w:val="7BCD7FFB"/>
    <w:rsid w:val="7BCE1954"/>
    <w:rsid w:val="7BCE5623"/>
    <w:rsid w:val="7BCF1DE2"/>
    <w:rsid w:val="7BCF3EB0"/>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5596F"/>
    <w:rsid w:val="7BF61E0D"/>
    <w:rsid w:val="7BF64461"/>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45049"/>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7715B"/>
    <w:rsid w:val="7C7B1E57"/>
    <w:rsid w:val="7C7C3178"/>
    <w:rsid w:val="7C7D2EA6"/>
    <w:rsid w:val="7C82181A"/>
    <w:rsid w:val="7C8505B4"/>
    <w:rsid w:val="7C886FB2"/>
    <w:rsid w:val="7C892B5F"/>
    <w:rsid w:val="7C896BD7"/>
    <w:rsid w:val="7C8A6F93"/>
    <w:rsid w:val="7C8B4BD5"/>
    <w:rsid w:val="7C8C75D1"/>
    <w:rsid w:val="7C8E642B"/>
    <w:rsid w:val="7C90724C"/>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11DDE"/>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D3750"/>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82838"/>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AD49F6"/>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E4AA2"/>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9F0B15"/>
    <w:rsid w:val="7EA126CA"/>
    <w:rsid w:val="7EA16798"/>
    <w:rsid w:val="7EA666C5"/>
    <w:rsid w:val="7EAC1CDF"/>
    <w:rsid w:val="7EAE7968"/>
    <w:rsid w:val="7EAE7AD7"/>
    <w:rsid w:val="7EB11529"/>
    <w:rsid w:val="7EB22177"/>
    <w:rsid w:val="7EB41AE0"/>
    <w:rsid w:val="7EB63A99"/>
    <w:rsid w:val="7EB7057B"/>
    <w:rsid w:val="7EB913D1"/>
    <w:rsid w:val="7EBA14D2"/>
    <w:rsid w:val="7EBB2436"/>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DF0482"/>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A58FC"/>
    <w:rsid w:val="7F0B3EAA"/>
    <w:rsid w:val="7F0E475D"/>
    <w:rsid w:val="7F0F1D84"/>
    <w:rsid w:val="7F0F3934"/>
    <w:rsid w:val="7F1026DA"/>
    <w:rsid w:val="7F1175F4"/>
    <w:rsid w:val="7F117D87"/>
    <w:rsid w:val="7F156FFF"/>
    <w:rsid w:val="7F1634AE"/>
    <w:rsid w:val="7F17138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A338A"/>
    <w:rsid w:val="7F7D592C"/>
    <w:rsid w:val="7F7E58BB"/>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1D95"/>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94A35"/>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 w:type="character" w:customStyle="1" w:styleId="130">
    <w:name w:val="列表段落 字符1"/>
    <w:basedOn w:val="31"/>
    <w:link w:val="131"/>
    <w:qFormat/>
    <w:uiPriority w:val="0"/>
    <w:rPr>
      <w:kern w:val="2"/>
      <w:sz w:val="21"/>
      <w:szCs w:val="24"/>
    </w:rPr>
  </w:style>
  <w:style w:type="paragraph" w:customStyle="1" w:styleId="131">
    <w:name w:val="列表段落"/>
    <w:basedOn w:val="1"/>
    <w:link w:val="130"/>
    <w:qFormat/>
    <w:uiPriority w:val="0"/>
    <w:pPr>
      <w:widowControl w:val="0"/>
      <w:spacing w:after="0"/>
      <w:ind w:left="840" w:leftChars="400"/>
      <w:jc w:val="both"/>
    </w:pPr>
    <w:rPr>
      <w:rFonts w:ascii="Times New Roman" w:hAnsi="Times New Roman" w:eastAsia="宋体"/>
      <w:kern w:val="2"/>
      <w:sz w:val="21"/>
      <w:szCs w:val="24"/>
    </w:rPr>
  </w:style>
  <w:style w:type="paragraph" w:customStyle="1" w:styleId="132">
    <w:name w:val="列表段落1"/>
    <w:basedOn w:val="1"/>
    <w:qFormat/>
    <w:uiPriority w:val="0"/>
    <w:pPr>
      <w:widowControl w:val="0"/>
      <w:spacing w:after="0"/>
      <w:ind w:left="840" w:leftChars="400"/>
      <w:jc w:val="both"/>
    </w:pPr>
    <w:rPr>
      <w:rFonts w:ascii="Times New Roman" w:hAnsi="Times New Roman" w:eastAsia="宋体"/>
      <w:kern w:val="2"/>
      <w:sz w:val="21"/>
      <w:szCs w:val="24"/>
    </w:rPr>
  </w:style>
  <w:style w:type="paragraph" w:customStyle="1" w:styleId="133">
    <w:name w:val="msolistparagraph"/>
    <w:basedOn w:val="1"/>
    <w:qFormat/>
    <w:uiPriority w:val="0"/>
    <w:pPr>
      <w:overflowPunct w:val="0"/>
      <w:autoSpaceDE w:val="0"/>
      <w:autoSpaceDN w:val="0"/>
      <w:adjustRightInd w:val="0"/>
      <w:spacing w:after="180"/>
      <w:ind w:firstLine="420" w:firstLineChars="200"/>
    </w:pPr>
    <w:rPr>
      <w:rFonts w:ascii="Times New Roman" w:hAnsi="Times New Roman" w:eastAsia="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4EC1F-9F4A-463E-9D8C-1DF0BDE8CE2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3200</Words>
  <Characters>18243</Characters>
  <Lines>152</Lines>
  <Paragraphs>42</Paragraphs>
  <TotalTime>2</TotalTime>
  <ScaleCrop>false</ScaleCrop>
  <LinksUpToDate>false</LinksUpToDate>
  <CharactersWithSpaces>21401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ZTE-YL</cp:lastModifiedBy>
  <dcterms:modified xsi:type="dcterms:W3CDTF">2025-08-15T09:01:47Z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52B326732354466A872A698F2057F59D</vt:lpwstr>
  </property>
</Properties>
</file>